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3" w:rsidRPr="00B579C9" w:rsidRDefault="009C5583" w:rsidP="009C5583">
      <w:pPr>
        <w:pStyle w:val="2"/>
        <w:spacing w:line="456" w:lineRule="auto"/>
        <w:jc w:val="center"/>
        <w:rPr>
          <w:rFonts w:ascii="方正小标宋_GBK" w:eastAsia="方正小标宋_GBK"/>
          <w:spacing w:val="28"/>
          <w:sz w:val="56"/>
          <w:szCs w:val="52"/>
        </w:rPr>
      </w:pPr>
      <w:bookmarkStart w:id="0" w:name="_GoBack"/>
      <w:r w:rsidRPr="00B579C9">
        <w:rPr>
          <w:rFonts w:ascii="方正小标宋_GBK" w:eastAsia="方正小标宋_GBK" w:hint="eastAsia"/>
          <w:spacing w:val="28"/>
          <w:sz w:val="56"/>
          <w:szCs w:val="52"/>
        </w:rPr>
        <w:t>湖南分部办学评估</w:t>
      </w:r>
    </w:p>
    <w:p w:rsidR="009C5583" w:rsidRPr="00B579C9" w:rsidRDefault="009C5583" w:rsidP="009C5583">
      <w:pPr>
        <w:pStyle w:val="2"/>
        <w:spacing w:line="456" w:lineRule="auto"/>
        <w:jc w:val="center"/>
        <w:rPr>
          <w:rFonts w:ascii="方正小标宋_GBK" w:eastAsia="方正小标宋_GBK"/>
          <w:spacing w:val="28"/>
          <w:sz w:val="56"/>
          <w:szCs w:val="52"/>
        </w:rPr>
      </w:pPr>
      <w:r w:rsidRPr="00B579C9">
        <w:rPr>
          <w:rFonts w:ascii="方正小标宋_GBK" w:eastAsia="方正小标宋_GBK" w:hint="eastAsia"/>
          <w:spacing w:val="28"/>
          <w:sz w:val="56"/>
          <w:szCs w:val="52"/>
        </w:rPr>
        <w:t>牵头部门指标</w:t>
      </w:r>
    </w:p>
    <w:bookmarkEnd w:id="0"/>
    <w:p w:rsidR="00CA03CE" w:rsidRDefault="00CA03CE">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Default="009C5583">
      <w:pPr>
        <w:rPr>
          <w:rFonts w:hint="eastAsia"/>
          <w:color w:val="000000" w:themeColor="text1"/>
          <w:sz w:val="32"/>
          <w:szCs w:val="32"/>
        </w:rPr>
      </w:pPr>
    </w:p>
    <w:p w:rsidR="009C5583" w:rsidRPr="00B579C9" w:rsidRDefault="009C5583" w:rsidP="009C5583">
      <w:pPr>
        <w:pStyle w:val="20"/>
        <w:ind w:leftChars="0" w:left="0" w:firstLineChars="0" w:firstLine="0"/>
        <w:jc w:val="center"/>
        <w:rPr>
          <w:rFonts w:ascii="方正小标宋_GBK" w:eastAsia="方正小标宋_GBK"/>
          <w:sz w:val="32"/>
        </w:rPr>
      </w:pPr>
      <w:r w:rsidRPr="00B579C9">
        <w:rPr>
          <w:rFonts w:ascii="方正小标宋_GBK" w:eastAsia="方正小标宋_GBK" w:hint="eastAsia"/>
          <w:sz w:val="32"/>
        </w:rPr>
        <w:t>办学评估工作办公室</w:t>
      </w:r>
    </w:p>
    <w:p w:rsidR="009C5583" w:rsidRPr="00B579C9" w:rsidRDefault="009C5583" w:rsidP="009C5583">
      <w:pPr>
        <w:pStyle w:val="20"/>
        <w:ind w:leftChars="0" w:left="0" w:firstLineChars="0" w:firstLine="0"/>
        <w:jc w:val="center"/>
        <w:rPr>
          <w:rFonts w:ascii="方正小标宋_GBK" w:eastAsia="方正小标宋_GBK"/>
          <w:sz w:val="32"/>
        </w:rPr>
      </w:pPr>
      <w:r w:rsidRPr="00B579C9">
        <w:rPr>
          <w:rFonts w:ascii="方正小标宋_GBK" w:eastAsia="方正小标宋_GBK" w:hint="eastAsia"/>
          <w:sz w:val="32"/>
        </w:rPr>
        <w:t>质量监控与评价中心</w:t>
      </w:r>
    </w:p>
    <w:p w:rsidR="009C5583" w:rsidRPr="00B579C9" w:rsidRDefault="009C5583" w:rsidP="009C5583">
      <w:pPr>
        <w:pStyle w:val="20"/>
        <w:ind w:leftChars="0" w:left="0" w:firstLineChars="0" w:firstLine="0"/>
        <w:jc w:val="center"/>
        <w:rPr>
          <w:rFonts w:ascii="方正小标宋_GBK" w:eastAsia="方正小标宋_GBK"/>
          <w:sz w:val="32"/>
        </w:rPr>
      </w:pPr>
      <w:r w:rsidRPr="00B579C9">
        <w:rPr>
          <w:rFonts w:ascii="方正小标宋_GBK" w:eastAsia="方正小标宋_GBK" w:hint="eastAsia"/>
          <w:sz w:val="32"/>
        </w:rPr>
        <w:t>2022年5月</w:t>
      </w:r>
    </w:p>
    <w:p w:rsidR="009C5583" w:rsidRDefault="009C5583">
      <w:pPr>
        <w:rPr>
          <w:color w:val="000000" w:themeColor="text1"/>
          <w:sz w:val="32"/>
          <w:szCs w:val="32"/>
        </w:rPr>
        <w:sectPr w:rsidR="009C5583">
          <w:footerReference w:type="default" r:id="rId8"/>
          <w:pgSz w:w="11906" w:h="16838"/>
          <w:pgMar w:top="1440" w:right="1417" w:bottom="1440" w:left="1417" w:header="851" w:footer="1020" w:gutter="0"/>
          <w:cols w:space="0"/>
          <w:docGrid w:type="lines" w:linePitch="319"/>
        </w:sectPr>
      </w:pPr>
    </w:p>
    <w:tbl>
      <w:tblPr>
        <w:tblpPr w:leftFromText="180" w:rightFromText="180" w:vertAnchor="text" w:horzAnchor="margin" w:tblpY="962"/>
        <w:tblW w:w="9781" w:type="dxa"/>
        <w:tblLayout w:type="fixed"/>
        <w:tblLook w:val="04A0" w:firstRow="1" w:lastRow="0" w:firstColumn="1" w:lastColumn="0" w:noHBand="0" w:noVBand="1"/>
      </w:tblPr>
      <w:tblGrid>
        <w:gridCol w:w="1135"/>
        <w:gridCol w:w="2400"/>
        <w:gridCol w:w="1450"/>
        <w:gridCol w:w="1271"/>
        <w:gridCol w:w="1423"/>
        <w:gridCol w:w="2102"/>
      </w:tblGrid>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tcPr>
          <w:p w:rsidR="00452D86" w:rsidRDefault="00452D86" w:rsidP="00452D86">
            <w:pPr>
              <w:widowControl/>
              <w:textAlignment w:val="center"/>
              <w:rPr>
                <w:rFonts w:ascii="仿宋" w:eastAsia="仿宋" w:hAnsi="仿宋" w:cs="仿宋"/>
                <w:b/>
                <w:bCs/>
                <w:color w:val="000000"/>
                <w:kern w:val="0"/>
                <w:sz w:val="22"/>
                <w:szCs w:val="22"/>
                <w:lang w:bidi="ar"/>
              </w:rPr>
            </w:pPr>
            <w:bookmarkStart w:id="1" w:name="_Toc7060"/>
            <w:bookmarkStart w:id="2" w:name="_Toc13967"/>
          </w:p>
          <w:p w:rsidR="00452D86" w:rsidRDefault="00452D86" w:rsidP="00452D86">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序号</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部门名称</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观测点（个）</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观测点总分数（分）</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联系方式</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人事处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黄  英</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18673127127</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财务处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张  熙</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15873120056</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图书馆</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刘朝晖</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13787319283</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学生工作处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曾  伟</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13637478548</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质量监控与评价中心</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郭贤锋</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13487316452</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w w:val="90"/>
                <w:kern w:val="0"/>
                <w:sz w:val="22"/>
                <w:szCs w:val="22"/>
                <w:lang w:bidi="ar"/>
              </w:rPr>
            </w:pPr>
            <w:r>
              <w:rPr>
                <w:rFonts w:ascii="仿宋" w:eastAsia="仿宋" w:hAnsi="仿宋" w:cs="仿宋" w:hint="eastAsia"/>
                <w:color w:val="000000"/>
                <w:w w:val="90"/>
                <w:kern w:val="0"/>
                <w:sz w:val="22"/>
                <w:szCs w:val="22"/>
                <w:lang w:bidi="ar"/>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w w:val="90"/>
                <w:sz w:val="22"/>
                <w:szCs w:val="22"/>
              </w:rPr>
            </w:pPr>
            <w:r>
              <w:rPr>
                <w:rFonts w:ascii="仿宋" w:eastAsia="仿宋" w:hAnsi="仿宋" w:cs="仿宋" w:hint="eastAsia"/>
                <w:color w:val="000000"/>
                <w:w w:val="90"/>
                <w:kern w:val="0"/>
                <w:sz w:val="22"/>
                <w:szCs w:val="22"/>
                <w:lang w:bidi="ar"/>
              </w:rPr>
              <w:t>发展规划与系统建设处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徐志平</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13975801159</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党政办公室</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吕宪峰</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18390805892</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招生与就业工作处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易  杨</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13808477333</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资产管理处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江军辉</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15974278726</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党委宣传部</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颜  凯</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15274916166</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现代教育技术中心</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唐飞岳</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13507429934</w:t>
            </w:r>
          </w:p>
        </w:tc>
      </w:tr>
      <w:tr w:rsidR="00452D86" w:rsidTr="00452D86">
        <w:trPr>
          <w:trHeight w:val="840"/>
        </w:trPr>
        <w:tc>
          <w:tcPr>
            <w:tcW w:w="1135" w:type="dxa"/>
            <w:tcBorders>
              <w:top w:val="single" w:sz="4" w:space="0" w:color="000000"/>
              <w:left w:val="single" w:sz="4" w:space="0" w:color="000000"/>
              <w:bottom w:val="single" w:sz="4" w:space="0" w:color="000000"/>
              <w:right w:val="single" w:sz="4" w:space="0" w:color="000000"/>
            </w:tcBorders>
            <w:vAlign w:val="center"/>
          </w:tcPr>
          <w:p w:rsidR="00452D86" w:rsidRDefault="00452D86" w:rsidP="00452D8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教务处</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w:t>
            </w:r>
          </w:p>
        </w:tc>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408</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张小燕</w:t>
            </w:r>
          </w:p>
        </w:tc>
        <w:tc>
          <w:tcPr>
            <w:tcW w:w="2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rsidP="00452D86">
            <w:pPr>
              <w:jc w:val="center"/>
              <w:rPr>
                <w:rFonts w:ascii="仿宋" w:eastAsia="仿宋" w:hAnsi="仿宋" w:cs="仿宋"/>
                <w:color w:val="000000"/>
                <w:sz w:val="22"/>
                <w:szCs w:val="22"/>
              </w:rPr>
            </w:pPr>
            <w:r>
              <w:rPr>
                <w:rFonts w:ascii="仿宋" w:eastAsia="仿宋" w:hAnsi="仿宋" w:cs="仿宋" w:hint="eastAsia"/>
                <w:color w:val="000000"/>
                <w:sz w:val="22"/>
                <w:szCs w:val="22"/>
              </w:rPr>
              <w:t>13517476707</w:t>
            </w:r>
          </w:p>
        </w:tc>
      </w:tr>
    </w:tbl>
    <w:bookmarkEnd w:id="1"/>
    <w:bookmarkEnd w:id="2"/>
    <w:p w:rsidR="00CA03CE" w:rsidRPr="00452D86" w:rsidRDefault="00452D86" w:rsidP="00452D86">
      <w:pPr>
        <w:pStyle w:val="1"/>
      </w:pPr>
      <w:r>
        <w:rPr>
          <w:rFonts w:hint="eastAsia"/>
        </w:rPr>
        <w:t>湖南开放大学办学评估校属各部门信息表</w:t>
      </w:r>
    </w:p>
    <w:p w:rsidR="00CA03CE" w:rsidRDefault="00401AF5">
      <w:pPr>
        <w:rPr>
          <w:rFonts w:ascii="仿宋" w:eastAsia="仿宋" w:hAnsi="仿宋" w:cs="仿宋"/>
          <w:color w:val="000000" w:themeColor="text1"/>
          <w:sz w:val="28"/>
          <w:szCs w:val="28"/>
        </w:rPr>
        <w:sectPr w:rsidR="00CA03CE">
          <w:footerReference w:type="default" r:id="rId9"/>
          <w:pgSz w:w="11906" w:h="16838"/>
          <w:pgMar w:top="1440" w:right="1417" w:bottom="1440" w:left="1417" w:header="851" w:footer="1020" w:gutter="0"/>
          <w:pgNumType w:start="1"/>
          <w:cols w:space="0"/>
          <w:docGrid w:type="lines" w:linePitch="324"/>
        </w:sectPr>
      </w:pPr>
      <w:r>
        <w:rPr>
          <w:rFonts w:ascii="仿宋" w:eastAsia="仿宋" w:hAnsi="仿宋" w:cs="仿宋" w:hint="eastAsia"/>
          <w:color w:val="000000" w:themeColor="text1"/>
          <w:sz w:val="28"/>
          <w:szCs w:val="28"/>
        </w:rPr>
        <w:br w:type="page"/>
      </w:r>
    </w:p>
    <w:p w:rsidR="00CA03CE" w:rsidRDefault="00401AF5">
      <w:pPr>
        <w:pStyle w:val="1"/>
      </w:pPr>
      <w:bookmarkStart w:id="3" w:name="_Toc6638"/>
      <w:r>
        <w:rPr>
          <w:rFonts w:hint="eastAsia"/>
        </w:rPr>
        <w:lastRenderedPageBreak/>
        <w:t>人事处</w:t>
      </w:r>
      <w:bookmarkEnd w:id="3"/>
    </w:p>
    <w:p w:rsidR="00CA03CE" w:rsidRDefault="00CA03CE"/>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3.1岗位、人员与运行（25分）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3.1.1 省校对接国开开放教育办学业务的部门、岗位、人员责权明晰、分工合理，教学教务管理职能相对独立、完整，落实到位（15分）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（26）省校对接国开开放教育办学业务的部门、岗位、人员责权明晰、分工合理的情况（10分）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（27）教学教务管理职能相对独立、完整，落实到位的情况（5分）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 师资等人员配备（50分）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3.2.1生师比合理（30分）</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以在编在岗教师计算，生师比&lt;=50:1（30分）；以在编在岗教师计算，50:1&lt;生师比&lt;=100:1（24-29分）；以专兼职教师计算，生师比&lt;=50:1（19-23分）；以专兼职教师计算，50:1&lt;生师比&lt;=100:1（11-18分）;以专兼职教师计算，生师比&gt;100:1(0-10分)</w:t>
            </w:r>
          </w:p>
        </w:tc>
      </w:tr>
      <w:tr w:rsidR="00452D86" w:rsidTr="00452D86">
        <w:trPr>
          <w:trHeight w:val="1979"/>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r>
    </w:tbl>
    <w:p w:rsidR="00CA03CE" w:rsidRDefault="00CA03CE"/>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560"/>
        </w:trPr>
        <w:tc>
          <w:tcPr>
            <w:tcW w:w="140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3.条件保障（290分）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3.2 师资等人员配备（50分）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3.2.2 专兼职教师队伍的学历、职称、年龄结构合理（20分）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（31）研究生以上学历50%以上、高级职称30%以上、中青年教师60%以上（20分）;单项达不到上述标准的酌情减分</w:t>
            </w:r>
          </w:p>
        </w:tc>
      </w:tr>
      <w:tr w:rsidR="00452D86" w:rsidTr="00452D86">
        <w:trPr>
          <w:trHeight w:val="1310"/>
        </w:trPr>
        <w:tc>
          <w:tcPr>
            <w:tcW w:w="1400" w:type="dxa"/>
            <w:vMerge/>
            <w:tcBorders>
              <w:left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 人员培训（20分）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3.8.1 按要求参加国开组织的各类培训（10分）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（49）按要求参加国开组织的各类培训的情况（10分）</w:t>
            </w:r>
          </w:p>
        </w:tc>
      </w:tr>
      <w:tr w:rsidR="00452D86" w:rsidTr="00452D86">
        <w:trPr>
          <w:trHeight w:val="1260"/>
        </w:trPr>
        <w:tc>
          <w:tcPr>
            <w:tcW w:w="1400" w:type="dxa"/>
            <w:vMerge/>
            <w:tcBorders>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3.8.2 定期组织开展全省开大系统各类人员培训（10分）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（50）定期组织开展全省开大系统各类人员培训的情况（10分）</w:t>
            </w:r>
          </w:p>
        </w:tc>
      </w:tr>
      <w:tr w:rsidR="00452D86" w:rsidTr="00452D86">
        <w:trPr>
          <w:trHeight w:val="129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 师德、思政与学生活动（20分）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4.4.1师德师风建设情况和落实国开教师行为规范情况；思政课程教学、研究、培训，落实推进课程思政开展情况及效果（10分）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（70）师德师风建设情况和落实国开教师行为规范情况（5分）</w:t>
            </w:r>
          </w:p>
        </w:tc>
      </w:tr>
      <w:tr w:rsidR="00452D86" w:rsidTr="00452D86">
        <w:trPr>
          <w:trHeight w:val="117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（71）思政课程教学、研究、培训，落实推进课程思政开展情况及效果（5分）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观测点数量：8</w:t>
            </w:r>
          </w:p>
        </w:tc>
        <w:tc>
          <w:tcPr>
            <w:tcW w:w="7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观测点总分：95</w:t>
            </w:r>
          </w:p>
        </w:tc>
      </w:tr>
    </w:tbl>
    <w:p w:rsidR="00CA03CE" w:rsidRDefault="00401AF5">
      <w:pP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br w:type="page"/>
      </w:r>
    </w:p>
    <w:p w:rsidR="00CA03CE" w:rsidRDefault="00401AF5">
      <w:pPr>
        <w:pStyle w:val="1"/>
      </w:pPr>
      <w:bookmarkStart w:id="4" w:name="_Toc14636"/>
      <w:r>
        <w:rPr>
          <w:rFonts w:hint="eastAsia"/>
        </w:rPr>
        <w:lastRenderedPageBreak/>
        <w:t>财务处</w:t>
      </w:r>
      <w:bookmarkEnd w:id="4"/>
    </w:p>
    <w:p w:rsidR="00CA03CE" w:rsidRDefault="00CA03CE">
      <w:pPr>
        <w:rPr>
          <w:rFonts w:ascii="仿宋" w:eastAsia="仿宋" w:hAnsi="仿宋" w:cs="仿宋"/>
          <w:sz w:val="24"/>
          <w:szCs w:val="24"/>
        </w:rPr>
      </w:pPr>
    </w:p>
    <w:tbl>
      <w:tblPr>
        <w:tblW w:w="13767" w:type="dxa"/>
        <w:tblInd w:w="91" w:type="dxa"/>
        <w:tblLayout w:type="fixed"/>
        <w:tblLook w:val="04A0" w:firstRow="1" w:lastRow="0" w:firstColumn="1" w:lastColumn="0" w:noHBand="0" w:noVBand="1"/>
      </w:tblPr>
      <w:tblGrid>
        <w:gridCol w:w="1406"/>
        <w:gridCol w:w="1577"/>
        <w:gridCol w:w="3413"/>
        <w:gridCol w:w="7371"/>
      </w:tblGrid>
      <w:tr w:rsidR="00452D86" w:rsidTr="00452D86">
        <w:trPr>
          <w:trHeight w:val="850"/>
          <w:tblHeader/>
        </w:trPr>
        <w:tc>
          <w:tcPr>
            <w:tcW w:w="1406" w:type="dxa"/>
            <w:tcBorders>
              <w:top w:val="single" w:sz="4" w:space="0" w:color="000000"/>
              <w:left w:val="single" w:sz="4" w:space="0" w:color="000000"/>
              <w:bottom w:val="nil"/>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577" w:type="dxa"/>
            <w:tcBorders>
              <w:top w:val="single" w:sz="4" w:space="0" w:color="000000"/>
              <w:left w:val="single" w:sz="4" w:space="0" w:color="000000"/>
              <w:bottom w:val="nil"/>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2560"/>
        </w:trPr>
        <w:tc>
          <w:tcPr>
            <w:tcW w:w="1406" w:type="dxa"/>
            <w:vMerge w:val="restart"/>
            <w:tcBorders>
              <w:top w:val="single" w:sz="4" w:space="0" w:color="000000"/>
              <w:left w:val="single" w:sz="4" w:space="0" w:color="000000"/>
              <w:bottom w:val="nil"/>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2.体系办学（120分）</w:t>
            </w:r>
          </w:p>
        </w:tc>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 及时缴费、规范收费（30分）</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*2.3.1 按照协议及时足额缴纳各项费用，无拖欠学费（20分）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（24）无欠费，按照协议及时足额缴纳各项费用（20分）；有欠费，有清偿计划，近三年向上级缴纳、还款情况较好（10-19分）；有欠费，无清偿计划或近三年缴费、还款不到位（0-9分）</w:t>
            </w:r>
          </w:p>
        </w:tc>
      </w:tr>
      <w:tr w:rsidR="00452D86" w:rsidTr="00452D86">
        <w:trPr>
          <w:trHeight w:val="1560"/>
        </w:trPr>
        <w:tc>
          <w:tcPr>
            <w:tcW w:w="140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2.3.2 严格执行国家有关部门的收费规定和标准，无违规收费（10分）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（25）严格执行国家及地方有关部门的收费规定和标准（10分）</w:t>
            </w:r>
          </w:p>
        </w:tc>
      </w:tr>
      <w:tr w:rsidR="00452D86" w:rsidTr="00452D86">
        <w:trPr>
          <w:trHeight w:val="2630"/>
        </w:trPr>
        <w:tc>
          <w:tcPr>
            <w:tcW w:w="1406" w:type="dxa"/>
            <w:tcBorders>
              <w:top w:val="single" w:sz="4" w:space="0" w:color="auto"/>
              <w:left w:val="single" w:sz="4" w:space="0" w:color="000000"/>
              <w:bottom w:val="single" w:sz="4" w:space="0" w:color="auto"/>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 开放教育教学经费投入（45分）</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3.3.1 教学投入占学费收入的比例高（25分）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（32）评估近三年情况及趋势，按“总决算-投入企业-还款-基建≈教学投入”计算。70%及以上（21-25分）；55%-69%（11-20分）；40%-54%（1-10分）；不足40%（0分）</w:t>
            </w:r>
          </w:p>
        </w:tc>
      </w:tr>
    </w:tbl>
    <w:p w:rsidR="00CA03CE" w:rsidRDefault="00CA03CE"/>
    <w:p w:rsidR="00CA03CE" w:rsidRDefault="00CA03CE"/>
    <w:tbl>
      <w:tblPr>
        <w:tblW w:w="13767" w:type="dxa"/>
        <w:tblInd w:w="91" w:type="dxa"/>
        <w:tblLayout w:type="fixed"/>
        <w:tblLook w:val="04A0" w:firstRow="1" w:lastRow="0" w:firstColumn="1" w:lastColumn="0" w:noHBand="0" w:noVBand="1"/>
      </w:tblPr>
      <w:tblGrid>
        <w:gridCol w:w="1406"/>
        <w:gridCol w:w="1577"/>
        <w:gridCol w:w="3413"/>
        <w:gridCol w:w="7371"/>
      </w:tblGrid>
      <w:tr w:rsidR="00452D86" w:rsidTr="00452D86">
        <w:trPr>
          <w:trHeight w:val="850"/>
          <w:tblHeader/>
        </w:trPr>
        <w:tc>
          <w:tcPr>
            <w:tcW w:w="1406" w:type="dxa"/>
            <w:tcBorders>
              <w:top w:val="single" w:sz="4" w:space="0" w:color="000000"/>
              <w:left w:val="single" w:sz="4" w:space="0" w:color="000000"/>
              <w:bottom w:val="nil"/>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577" w:type="dxa"/>
            <w:tcBorders>
              <w:top w:val="single" w:sz="4" w:space="0" w:color="000000"/>
              <w:left w:val="single" w:sz="4" w:space="0" w:color="000000"/>
              <w:bottom w:val="nil"/>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2230"/>
        </w:trPr>
        <w:tc>
          <w:tcPr>
            <w:tcW w:w="1406" w:type="dxa"/>
            <w:tcBorders>
              <w:top w:val="single" w:sz="4" w:space="0" w:color="auto"/>
              <w:left w:val="single" w:sz="4" w:space="0" w:color="000000"/>
              <w:bottom w:val="single" w:sz="4" w:space="0" w:color="auto"/>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3.条件保障（290分）</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3.3 开放教育教学经费投入（45分）</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3.3.2 专业建设、资源建设、信息化软硬件建设、师资培训和实践教学投入占同期教学投入的比例高（20分）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（33）评估近三年情况及趋势，计算口径同上。60%及以上（16-20分）；40%-59%（6-15分）；20%-39%（1-5分）；不足20%（0分）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观测点数量：4</w:t>
            </w:r>
          </w:p>
        </w:tc>
        <w:tc>
          <w:tcPr>
            <w:tcW w:w="7371" w:type="dxa"/>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观测点总分：75</w:t>
            </w:r>
          </w:p>
        </w:tc>
      </w:tr>
    </w:tbl>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452D86" w:rsidRDefault="00452D86">
      <w:pPr>
        <w:pStyle w:val="1"/>
      </w:pPr>
      <w:bookmarkStart w:id="5" w:name="_Toc3201"/>
    </w:p>
    <w:p w:rsidR="00CA03CE" w:rsidRDefault="00401AF5">
      <w:pPr>
        <w:pStyle w:val="1"/>
      </w:pPr>
      <w:r>
        <w:rPr>
          <w:rFonts w:hint="eastAsia"/>
        </w:rPr>
        <w:t>图书馆</w:t>
      </w:r>
      <w:bookmarkEnd w:id="5"/>
    </w:p>
    <w:p w:rsidR="00CA03CE" w:rsidRDefault="00CA03CE"/>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211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3.7学习资源配置</w:t>
            </w:r>
          </w:p>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3.7.3 省校对国开提供的数字图书馆资源和服务进行推广、培训和答疑；除国开提供的资源和服务外，省校配备满足本地教学需求的纸质书刊和电子资源，配套服务与保障机制健全，生均图书（含电子资料）100册以上(10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（47）省校对国开提供的数字图书馆资源和服务进行推广、培训和答疑的情况（5分）</w:t>
            </w:r>
          </w:p>
        </w:tc>
      </w:tr>
      <w:tr w:rsidR="00452D86" w:rsidTr="00452D86">
        <w:trPr>
          <w:trHeight w:val="268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（48）除国开提供的资源和服务外，省校配备满足本地教学需求的纸质书刊和电子资源，配套服务与保障机制、生均图书（含电子资料）的情况(5分)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观测点数量：2</w:t>
            </w:r>
          </w:p>
        </w:tc>
        <w:tc>
          <w:tcPr>
            <w:tcW w:w="7371" w:type="dxa"/>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观测点总分：10分</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pPr>
      <w:bookmarkStart w:id="6" w:name="_Toc12810"/>
      <w:r>
        <w:rPr>
          <w:rFonts w:hint="eastAsia"/>
        </w:rPr>
        <w:lastRenderedPageBreak/>
        <w:t>学生工作处</w:t>
      </w:r>
      <w:bookmarkEnd w:id="6"/>
    </w:p>
    <w:p w:rsidR="00CA03CE" w:rsidRDefault="00CA03CE"/>
    <w:tbl>
      <w:tblPr>
        <w:tblW w:w="13767" w:type="dxa"/>
        <w:tblInd w:w="91" w:type="dxa"/>
        <w:tblLayout w:type="fixed"/>
        <w:tblLook w:val="04A0" w:firstRow="1" w:lastRow="0" w:firstColumn="1" w:lastColumn="0" w:noHBand="0" w:noVBand="1"/>
      </w:tblPr>
      <w:tblGrid>
        <w:gridCol w:w="1400"/>
        <w:gridCol w:w="1460"/>
        <w:gridCol w:w="3536"/>
        <w:gridCol w:w="7371"/>
      </w:tblGrid>
      <w:tr w:rsidR="00452D86" w:rsidTr="00452D86">
        <w:trPr>
          <w:trHeight w:val="85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204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4.4师德、思政与学生活动（20分）</w:t>
            </w: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4.4.2 学生思想政治教育，学生社团、党团等组织立德树人教育活动开展情况及效果（10分）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（72）学生思政教育、立德树人教育活动的记录和效果（6分）</w:t>
            </w:r>
          </w:p>
        </w:tc>
      </w:tr>
      <w:tr w:rsidR="00452D86" w:rsidTr="00452D86">
        <w:trPr>
          <w:trHeight w:val="211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（73）学生社团活动及学生参与度、学生党团组织及运行情况（4分）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观测点数量：2</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观测点总分：10分</w:t>
            </w:r>
          </w:p>
        </w:tc>
      </w:tr>
    </w:tbl>
    <w:p w:rsidR="00CA03CE" w:rsidRDefault="00CA03CE">
      <w:pPr>
        <w:jc w:val="left"/>
        <w:rPr>
          <w:rFonts w:eastAsia="仿宋_GB2312"/>
          <w:kern w:val="0"/>
          <w:sz w:val="24"/>
          <w:szCs w:val="24"/>
        </w:rPr>
      </w:pPr>
    </w:p>
    <w:p w:rsidR="00452D86" w:rsidRDefault="00452D86">
      <w:pPr>
        <w:pStyle w:val="1"/>
      </w:pPr>
      <w:bookmarkStart w:id="7" w:name="_Toc2756"/>
    </w:p>
    <w:p w:rsidR="00CA03CE" w:rsidRDefault="00401AF5">
      <w:pPr>
        <w:pStyle w:val="1"/>
      </w:pPr>
      <w:r>
        <w:rPr>
          <w:rFonts w:hint="eastAsia"/>
        </w:rPr>
        <w:t>质量监控与评价中心</w:t>
      </w:r>
      <w:bookmarkEnd w:id="7"/>
    </w:p>
    <w:p w:rsidR="00CA03CE" w:rsidRDefault="00CA03CE"/>
    <w:tbl>
      <w:tblPr>
        <w:tblW w:w="13767" w:type="dxa"/>
        <w:tblInd w:w="91" w:type="dxa"/>
        <w:tblLayout w:type="fixed"/>
        <w:tblLook w:val="04A0" w:firstRow="1" w:lastRow="0" w:firstColumn="1" w:lastColumn="0" w:noHBand="0" w:noVBand="1"/>
      </w:tblPr>
      <w:tblGrid>
        <w:gridCol w:w="1400"/>
        <w:gridCol w:w="1440"/>
        <w:gridCol w:w="355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20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 线上线下教学的组织管理与实施效果（70分）</w:t>
            </w: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4.2.1 全省开大系统在教学组织与运行过程中履职尽责；省校有措施督查全省开大系统各分校、二级学院开展面授、落实网上教学的情况（30分）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（55）全省开大系统在教学组织与运行过程中履职尽责情况（15分）</w:t>
            </w:r>
          </w:p>
        </w:tc>
      </w:tr>
      <w:tr w:rsidR="00452D86" w:rsidTr="00452D86">
        <w:trPr>
          <w:trHeight w:val="129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（56）省校有措施督查各分校、二级学院开展面授、落实网上教学的情况（15分）</w:t>
            </w:r>
          </w:p>
        </w:tc>
      </w:tr>
      <w:tr w:rsidR="00452D86" w:rsidTr="00452D86">
        <w:trPr>
          <w:trHeight w:val="1575"/>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4.6学习支持服务和满意度（50分）</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4.6.3 支持开展满意度调查，学生、毕业生对学校教学和服务等方面满意度高（20分）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（92）很满意≥50%或满意≥90%（20分），其他情况如满意度调查完成率不足60%等酌情减分</w:t>
            </w:r>
          </w:p>
        </w:tc>
      </w:tr>
      <w:tr w:rsidR="00452D86" w:rsidTr="00452D86">
        <w:trPr>
          <w:trHeight w:val="675"/>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Fonts w:ascii="Arial" w:eastAsia="仿宋" w:hAnsi="Arial" w:cs="Arial"/>
                <w:color w:val="000000"/>
                <w:kern w:val="0"/>
                <w:sz w:val="24"/>
                <w:szCs w:val="24"/>
                <w:lang w:bidi="ar"/>
              </w:rPr>
              <w:t xml:space="preserve"> </w:t>
            </w:r>
            <w:r>
              <w:rPr>
                <w:rFonts w:ascii="仿宋" w:eastAsia="仿宋" w:hAnsi="仿宋" w:cs="仿宋" w:hint="eastAsia"/>
                <w:color w:val="000000"/>
                <w:kern w:val="0"/>
                <w:sz w:val="24"/>
                <w:szCs w:val="24"/>
                <w:lang w:bidi="ar"/>
              </w:rPr>
              <w:t>质量管理（120分）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 执行国家开放大学质量标准、落实质量报告工作、完成评估检查</w:t>
            </w:r>
            <w:r>
              <w:rPr>
                <w:rFonts w:ascii="仿宋" w:eastAsia="仿宋" w:hAnsi="仿宋" w:cs="仿宋" w:hint="eastAsia"/>
                <w:color w:val="000000"/>
                <w:kern w:val="0"/>
                <w:sz w:val="24"/>
                <w:szCs w:val="24"/>
                <w:lang w:bidi="ar"/>
              </w:rPr>
              <w:lastRenderedPageBreak/>
              <w:t>及整改工作的情况（50分）</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5.1.1 严格执行国家开放大学质量标准，并组织全省开大系统贯彻落实（20分）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（103）省校执行国家开放大学质量标准，教职工对质量标准知晓度的情况（10分）</w:t>
            </w:r>
          </w:p>
        </w:tc>
      </w:tr>
      <w:tr w:rsidR="00452D86" w:rsidTr="00452D86">
        <w:trPr>
          <w:trHeight w:val="187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w:t>
            </w:r>
            <w:r>
              <w:rPr>
                <w:rFonts w:ascii="Arial" w:eastAsia="仿宋" w:hAnsi="Arial" w:cs="Arial"/>
                <w:color w:val="000000"/>
                <w:kern w:val="0"/>
                <w:sz w:val="24"/>
                <w:szCs w:val="24"/>
                <w:lang w:bidi="ar"/>
              </w:rPr>
              <w:t xml:space="preserve"> </w:t>
            </w:r>
            <w:r>
              <w:rPr>
                <w:rFonts w:ascii="仿宋" w:eastAsia="仿宋" w:hAnsi="仿宋" w:cs="仿宋" w:hint="eastAsia"/>
                <w:color w:val="000000"/>
                <w:kern w:val="0"/>
                <w:sz w:val="24"/>
                <w:szCs w:val="24"/>
                <w:lang w:bidi="ar"/>
              </w:rPr>
              <w:t>质量管理（120分）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 执行国家开放大学质量标准、落实质量报告工作、完成评估检查及整改工作的情况（50分）</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5.1.1 严格执行国家开放大学质量标准，并组织全省开大系统贯彻落实（20分）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（104）在全省开大系统组织贯彻落实的情况（10分）</w:t>
            </w:r>
          </w:p>
        </w:tc>
      </w:tr>
      <w:tr w:rsidR="00452D86" w:rsidTr="00452D86">
        <w:trPr>
          <w:trHeight w:val="146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5.1.2 质量报告编制认真，全省开大系统有落实年报报送与发布的机制（10分）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（105）质量报告编写认真，报送及时的情况（5分）</w:t>
            </w:r>
          </w:p>
        </w:tc>
      </w:tr>
      <w:tr w:rsidR="00452D86" w:rsidTr="00452D86">
        <w:trPr>
          <w:trHeight w:val="147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（106）全省开大系统落实年报报送与发布的机制的情况（5分）</w:t>
            </w:r>
          </w:p>
        </w:tc>
      </w:tr>
      <w:tr w:rsidR="00452D86" w:rsidTr="00452D86">
        <w:trPr>
          <w:trHeight w:val="189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5.1.3 落实国开评价评估、检查督导等工作要求并有效整改（20分）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（107）按国开部署，制定工作方案、明确领导小组和工作小组，如期推进相关工作的情况（12分）</w:t>
            </w:r>
          </w:p>
        </w:tc>
      </w:tr>
      <w:tr w:rsidR="00452D86" w:rsidTr="00452D86">
        <w:trPr>
          <w:trHeight w:val="131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4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（108）对国开评估、检查、督导发现的问题有效整改的情况（8分）</w:t>
            </w:r>
          </w:p>
        </w:tc>
      </w:tr>
      <w:tr w:rsidR="00452D86" w:rsidTr="00452D86">
        <w:trPr>
          <w:trHeight w:val="272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5.质量管理（120分）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 省校质量管理团队和质量保证体系的建设与运行（70分）</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5.2.1 持续完善全省开大系统办学的质量保证体系（20分）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（109）省校有完整质量保证体系，并有效执行（16-20分）；省校质量保证有措施，逐步完善，努力构建质量保证体系（6-15分）；省校没有有效质量保证措施（0-5分）</w:t>
            </w:r>
          </w:p>
        </w:tc>
      </w:tr>
      <w:tr w:rsidR="00452D86" w:rsidTr="00452D86">
        <w:trPr>
          <w:trHeight w:val="133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5.2.2 省校设有专人专职负责质量管理，各分校有专职人员负责质量管理；全省开大系统建有质量管理团队且工作有效（20分）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（110）省校质量管理岗位设置情况（6分）</w:t>
            </w:r>
          </w:p>
        </w:tc>
      </w:tr>
      <w:tr w:rsidR="00452D86" w:rsidTr="00452D86">
        <w:trPr>
          <w:trHeight w:val="11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（111）指导分校质量管理岗位设置情况（4分）</w:t>
            </w:r>
          </w:p>
        </w:tc>
      </w:tr>
      <w:tr w:rsidR="00452D86" w:rsidTr="00452D86">
        <w:trPr>
          <w:trHeight w:val="238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5.2.2 省校设有专人专职负责质量管理，各分校有专职人员负责质量管理；全省开大系统建有质量管理团队且工作有效（20分）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（112）全省开大系统质量管理团队及工作情况（10分）</w:t>
            </w:r>
          </w:p>
        </w:tc>
      </w:tr>
      <w:tr w:rsidR="00452D86" w:rsidTr="00452D86">
        <w:trPr>
          <w:trHeight w:val="17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5.质量管理（120分）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 省校质量管理团队和质量保证体系的建设与运行（70分）</w:t>
            </w: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5.2.3 定期或不定期开展对分校、各二级学院的教学检查、评估、督导，通报结果并督促整改，违纪违规处置有记录（30分）</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（113）定期开展情况，覆盖分校、各二级学院、县级电大的情况，通报结果、督促整改情况，违纪违规处置记录情况（30分）</w:t>
            </w:r>
          </w:p>
        </w:tc>
      </w:tr>
      <w:tr w:rsidR="00452D86" w:rsidTr="00452D86">
        <w:trPr>
          <w:trHeight w:val="61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center"/>
              <w:rPr>
                <w:rFonts w:ascii="仿宋" w:eastAsia="仿宋" w:hAnsi="仿宋" w:cs="仿宋"/>
                <w:color w:val="000000"/>
                <w:sz w:val="24"/>
                <w:szCs w:val="24"/>
              </w:rPr>
            </w:pPr>
          </w:p>
        </w:tc>
      </w:tr>
      <w:tr w:rsidR="00452D86" w:rsidTr="00452D86">
        <w:trPr>
          <w:trHeight w:val="17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6.创新与服务（90分）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 服务经济社会发展的效果与影响（50分）</w:t>
            </w: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 积极服务区域经济社会发展，在当地的社会影响正面、较好（25分）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（118）学历教育人才培养在当地的正面社会影响情况（10分）</w:t>
            </w:r>
          </w:p>
        </w:tc>
      </w:tr>
      <w:tr w:rsidR="00452D86" w:rsidTr="00452D86">
        <w:trPr>
          <w:trHeight w:val="174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（119）非学历教育及社区老年教育、社会培训、学分银行等在当地的正面社会影响情况（15分）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观测点数量：16</w:t>
            </w:r>
          </w:p>
        </w:tc>
        <w:tc>
          <w:tcPr>
            <w:tcW w:w="7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观测点总分：195</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rPr>
          <w:rFonts w:ascii="仿宋" w:eastAsia="仿宋" w:hAnsi="仿宋" w:cs="仿宋"/>
          <w:sz w:val="24"/>
          <w:szCs w:val="24"/>
        </w:rPr>
      </w:pPr>
      <w:bookmarkStart w:id="8" w:name="_Toc27849"/>
      <w:r>
        <w:rPr>
          <w:rFonts w:hint="eastAsia"/>
        </w:rPr>
        <w:lastRenderedPageBreak/>
        <w:t>发展规划与系统建设处</w:t>
      </w:r>
      <w:bookmarkEnd w:id="8"/>
    </w:p>
    <w:p w:rsidR="00CA03CE" w:rsidRDefault="00CA03CE">
      <w:pPr>
        <w:rPr>
          <w:rFonts w:ascii="仿宋" w:eastAsia="仿宋" w:hAnsi="仿宋" w:cs="仿宋"/>
        </w:rPr>
      </w:pPr>
    </w:p>
    <w:tbl>
      <w:tblPr>
        <w:tblW w:w="13767" w:type="dxa"/>
        <w:tblInd w:w="91" w:type="dxa"/>
        <w:tblLayout w:type="fixed"/>
        <w:tblLook w:val="04A0" w:firstRow="1" w:lastRow="0" w:firstColumn="1" w:lastColumn="0" w:noHBand="0" w:noVBand="1"/>
      </w:tblPr>
      <w:tblGrid>
        <w:gridCol w:w="1388"/>
        <w:gridCol w:w="1520"/>
        <w:gridCol w:w="3488"/>
        <w:gridCol w:w="7371"/>
      </w:tblGrid>
      <w:tr w:rsidR="00452D86" w:rsidTr="00452D86">
        <w:trPr>
          <w:trHeight w:val="850"/>
          <w:tblHeader/>
        </w:trPr>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610"/>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2.体系办学（120分）</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2.2统筹全省开大的系统办学及体系建设（70分）</w:t>
            </w:r>
          </w:p>
        </w:tc>
        <w:tc>
          <w:tcPr>
            <w:tcW w:w="3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2.2.2 全省开大系统办学单位布局、人员配备及职责分工与办学的规模、结构、质量要求相适应（25分）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（17）全省开大系统办学单位布局、工作职责分配的科学合理程度及落实情况（14分）</w:t>
            </w:r>
          </w:p>
        </w:tc>
      </w:tr>
      <w:tr w:rsidR="00452D86" w:rsidTr="00452D86">
        <w:trPr>
          <w:trHeight w:val="1370"/>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（18）全省开大系统与办学质量要求相适应的人员配备情况和责任落实情况（7分）</w:t>
            </w:r>
          </w:p>
        </w:tc>
      </w:tr>
      <w:tr w:rsidR="00452D86" w:rsidTr="00452D86">
        <w:trPr>
          <w:trHeight w:val="1160"/>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（19）办学的规模、结构、质量相适应的情况（4分）</w:t>
            </w:r>
          </w:p>
        </w:tc>
      </w:tr>
      <w:tr w:rsidR="00452D86" w:rsidTr="00452D86">
        <w:trPr>
          <w:trHeight w:val="1300"/>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*2.2.4 在国开允许的区域范围内规范办学(15分)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（22）全省开大系统各办学单位办学与国开允许的区域范围相符的情况（7分）</w:t>
            </w:r>
          </w:p>
        </w:tc>
      </w:tr>
      <w:tr w:rsidR="00452D86" w:rsidTr="00452D86">
        <w:trPr>
          <w:trHeight w:val="1450"/>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（23）全省开大系统各办学单位的办学行为规范程度（8分）</w:t>
            </w:r>
          </w:p>
        </w:tc>
      </w:tr>
      <w:tr w:rsidR="00452D86" w:rsidTr="00452D86">
        <w:trPr>
          <w:trHeight w:val="1450"/>
        </w:trPr>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3.条件保障（290分）</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3.1岗位、人员与运行（25分）</w:t>
            </w:r>
          </w:p>
        </w:tc>
        <w:tc>
          <w:tcPr>
            <w:tcW w:w="3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3.1.2 分校的教学教务部门业务相对独立，其他工作有专职专岗人员负责；县级电大的招生、教务管理、学生管理、考试等工作有明确人员分工负责（10分）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（28）分校的教学教务部门业务相对独立，其他工作有专职专岗人员负责（5分）</w:t>
            </w:r>
          </w:p>
        </w:tc>
      </w:tr>
      <w:tr w:rsidR="00452D86" w:rsidTr="00452D86">
        <w:trPr>
          <w:trHeight w:val="1760"/>
        </w:trPr>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（29）分校的招生、教务管理、学生管理、考试等工作有明确人员分工负责（5分）</w:t>
            </w:r>
          </w:p>
        </w:tc>
      </w:tr>
      <w:tr w:rsidR="00452D86" w:rsidTr="00452D86">
        <w:trPr>
          <w:trHeight w:val="850"/>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观测点数量：7</w:t>
            </w:r>
          </w:p>
        </w:tc>
        <w:tc>
          <w:tcPr>
            <w:tcW w:w="10859" w:type="dxa"/>
            <w:gridSpan w:val="2"/>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观测点总分：50分</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rPr>
          <w:rFonts w:eastAsia="仿宋_GB2312"/>
          <w:kern w:val="0"/>
          <w:sz w:val="24"/>
          <w:szCs w:val="24"/>
        </w:rPr>
      </w:pPr>
      <w:bookmarkStart w:id="9" w:name="_Toc27023"/>
      <w:r>
        <w:rPr>
          <w:rFonts w:hint="eastAsia"/>
        </w:rPr>
        <w:lastRenderedPageBreak/>
        <w:t>党政办公室</w:t>
      </w:r>
      <w:bookmarkEnd w:id="9"/>
    </w:p>
    <w:p w:rsidR="00CA03CE" w:rsidRDefault="00CA03CE">
      <w:pPr>
        <w:rPr>
          <w:rFonts w:ascii="仿宋" w:eastAsia="仿宋" w:hAnsi="仿宋" w:cs="仿宋"/>
        </w:rPr>
      </w:pPr>
    </w:p>
    <w:tbl>
      <w:tblPr>
        <w:tblW w:w="13767" w:type="dxa"/>
        <w:tblInd w:w="91" w:type="dxa"/>
        <w:tblLayout w:type="fixed"/>
        <w:tblLook w:val="04A0" w:firstRow="1" w:lastRow="0" w:firstColumn="1" w:lastColumn="0" w:noHBand="0" w:noVBand="1"/>
      </w:tblPr>
      <w:tblGrid>
        <w:gridCol w:w="1390"/>
        <w:gridCol w:w="1560"/>
        <w:gridCol w:w="3446"/>
        <w:gridCol w:w="7371"/>
      </w:tblGrid>
      <w:tr w:rsidR="00452D86" w:rsidTr="00452D86">
        <w:trPr>
          <w:trHeight w:val="850"/>
          <w:tblHeader/>
        </w:trPr>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一级指标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二级指标</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观测点</w:t>
            </w:r>
          </w:p>
        </w:tc>
      </w:tr>
      <w:tr w:rsidR="00452D86" w:rsidTr="00452D86">
        <w:trPr>
          <w:trHeight w:val="1535"/>
        </w:trPr>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1.办学定位（40分）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 全面加强党的领导（15分）</w:t>
            </w:r>
          </w:p>
        </w:tc>
        <w:tc>
          <w:tcPr>
            <w:tcW w:w="3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 全面加强党的领导，坚持社会主义办学方向，落实立德树人根本任务，培养德智体美劳全面发展的社会主义建设者和接班人（15分）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（1）学校发展定位及发展规划体现社会主义办学方向（4分）</w:t>
            </w:r>
          </w:p>
        </w:tc>
      </w:tr>
      <w:tr w:rsidR="00452D86" w:rsidTr="00452D86">
        <w:trPr>
          <w:trHeight w:val="1240"/>
        </w:trPr>
        <w:tc>
          <w:tcPr>
            <w:tcW w:w="1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3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（2）党委领导下的校长负责制及其落实情况（4分）</w:t>
            </w:r>
          </w:p>
        </w:tc>
      </w:tr>
      <w:tr w:rsidR="00452D86" w:rsidTr="00452D86">
        <w:trPr>
          <w:trHeight w:val="1195"/>
        </w:trPr>
        <w:tc>
          <w:tcPr>
            <w:tcW w:w="1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3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（3）立德树人培育体系和落实机制（4分）</w:t>
            </w:r>
          </w:p>
        </w:tc>
      </w:tr>
      <w:tr w:rsidR="00452D86" w:rsidTr="00452D86">
        <w:trPr>
          <w:trHeight w:val="2400"/>
        </w:trPr>
        <w:tc>
          <w:tcPr>
            <w:tcW w:w="1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 全面加强党的领导，坚持社会主义办学方向，落实立德树人根本任务，培养德智体美劳全面发展的社会主义建设者和接班人（15分）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（4）培养方案在毕业要求和课程体系（包括第二课堂）中体现德智体美劳培养目标的情况（3分）</w:t>
            </w:r>
          </w:p>
        </w:tc>
      </w:tr>
    </w:tbl>
    <w:p w:rsidR="00CA03CE" w:rsidRDefault="00CA03CE"/>
    <w:tbl>
      <w:tblPr>
        <w:tblW w:w="13767" w:type="dxa"/>
        <w:tblInd w:w="91" w:type="dxa"/>
        <w:tblLayout w:type="fixed"/>
        <w:tblLook w:val="04A0" w:firstRow="1" w:lastRow="0" w:firstColumn="1" w:lastColumn="0" w:noHBand="0" w:noVBand="1"/>
      </w:tblPr>
      <w:tblGrid>
        <w:gridCol w:w="1390"/>
        <w:gridCol w:w="1560"/>
        <w:gridCol w:w="3446"/>
        <w:gridCol w:w="7371"/>
      </w:tblGrid>
      <w:tr w:rsidR="00452D86" w:rsidTr="00452D86">
        <w:trPr>
          <w:trHeight w:val="850"/>
          <w:tblHeader/>
        </w:trPr>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lastRenderedPageBreak/>
              <w:t>一级指标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二级指标</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观测点</w:t>
            </w:r>
          </w:p>
        </w:tc>
      </w:tr>
      <w:tr w:rsidR="00452D86" w:rsidTr="00452D86">
        <w:trPr>
          <w:trHeight w:val="620"/>
        </w:trPr>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2.体系办学（120分）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 统筹全省开大的系统办学及体系建设（70分）</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2.2.1 全省开大系统各办学单位的办学职责明晰，各级合作办学协议合法有效（10分）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（15）全省开大系统及各办学单位对办学定位及职责的明确程度，体系责任分工的明晰程度（6分）</w:t>
            </w:r>
          </w:p>
        </w:tc>
      </w:tr>
      <w:tr w:rsidR="00452D86" w:rsidTr="00452D86">
        <w:trPr>
          <w:trHeight w:val="1320"/>
        </w:trPr>
        <w:tc>
          <w:tcPr>
            <w:tcW w:w="1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rPr>
                <w:rFonts w:ascii="仿宋" w:eastAsia="仿宋" w:hAnsi="仿宋" w:cs="仿宋"/>
                <w:color w:val="000000"/>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2.2.1 全省开大系统各办学单位的办学职责明晰，各级合作办学协议合法有效（10分）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（16）各级合作办学协议完备、合法，条款清晰，职责明确（4分）</w:t>
            </w:r>
          </w:p>
        </w:tc>
      </w:tr>
      <w:tr w:rsidR="00452D86" w:rsidTr="00452D86">
        <w:trPr>
          <w:trHeight w:val="1145"/>
        </w:trPr>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3.5制度建设（15分）</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3.5.2 制度文件的更新、补充、完善及时（7分）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（39）制度文件的更新、补充、完善情况（7分）</w:t>
            </w:r>
          </w:p>
        </w:tc>
      </w:tr>
      <w:tr w:rsidR="00452D86" w:rsidTr="00452D86">
        <w:trPr>
          <w:trHeight w:val="1320"/>
        </w:trPr>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6.创新与服务（90分）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6.2服务经济社会发展的效果与影响（50分）</w:t>
            </w:r>
          </w:p>
        </w:tc>
        <w:tc>
          <w:tcPr>
            <w:tcW w:w="3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6.2.2 当地政府或教育行政部门对办学单位有政策、项目的支持或投入（10分）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（120）当地政府或教育行政部门对开放大学办学有支持性政策性批文（5分）</w:t>
            </w:r>
          </w:p>
        </w:tc>
      </w:tr>
      <w:tr w:rsidR="00452D86" w:rsidTr="00452D86">
        <w:trPr>
          <w:trHeight w:val="1250"/>
        </w:trPr>
        <w:tc>
          <w:tcPr>
            <w:tcW w:w="1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center"/>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center"/>
              <w:rPr>
                <w:rFonts w:ascii="仿宋" w:eastAsia="仿宋" w:hAnsi="仿宋" w:cs="仿宋"/>
                <w:color w:val="000000"/>
                <w:sz w:val="24"/>
                <w:szCs w:val="24"/>
              </w:rPr>
            </w:pPr>
          </w:p>
        </w:tc>
        <w:tc>
          <w:tcPr>
            <w:tcW w:w="3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（121）当地政府或教育行政部门对开放大学的项目立项、财政拨款情况（5分）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观测点数量：9</w:t>
            </w:r>
          </w:p>
        </w:tc>
        <w:tc>
          <w:tcPr>
            <w:tcW w:w="7371" w:type="dxa"/>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观测点总分：42</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pPr>
      <w:bookmarkStart w:id="10" w:name="_Toc5225"/>
      <w:r>
        <w:rPr>
          <w:rFonts w:hint="eastAsia"/>
        </w:rPr>
        <w:lastRenderedPageBreak/>
        <w:t>招生与就业工作处</w:t>
      </w:r>
      <w:bookmarkEnd w:id="10"/>
    </w:p>
    <w:p w:rsidR="00CA03CE" w:rsidRDefault="00CA03CE"/>
    <w:tbl>
      <w:tblPr>
        <w:tblW w:w="13767" w:type="dxa"/>
        <w:tblInd w:w="91" w:type="dxa"/>
        <w:tblLayout w:type="fixed"/>
        <w:tblLook w:val="04A0" w:firstRow="1" w:lastRow="0" w:firstColumn="1" w:lastColumn="0" w:noHBand="0" w:noVBand="1"/>
      </w:tblPr>
      <w:tblGrid>
        <w:gridCol w:w="1420"/>
        <w:gridCol w:w="1429"/>
        <w:gridCol w:w="3547"/>
        <w:gridCol w:w="7371"/>
      </w:tblGrid>
      <w:tr w:rsidR="00452D86" w:rsidTr="00452D86">
        <w:trPr>
          <w:trHeight w:val="850"/>
          <w:tblHead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740"/>
        </w:trPr>
        <w:tc>
          <w:tcPr>
            <w:tcW w:w="142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 招生宣传与规范管理（40分）</w:t>
            </w:r>
          </w:p>
        </w:tc>
        <w:tc>
          <w:tcPr>
            <w:tcW w:w="3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*4.1.1 按国开统一要求开展招生宣传，无虚假宣传、违规招生等问题（30分）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（51）招生单位的招生简章符合要求，以及违规承诺、虚假宣传的情况（25分）</w:t>
            </w:r>
          </w:p>
        </w:tc>
      </w:tr>
      <w:tr w:rsidR="00452D86" w:rsidTr="00452D86">
        <w:trPr>
          <w:trHeight w:val="1740"/>
        </w:trPr>
        <w:tc>
          <w:tcPr>
            <w:tcW w:w="14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（52）全省开大系统没有学生关于招生宣传问题的信访投诉，或学生有投诉、省校无过错（5分）</w:t>
            </w:r>
          </w:p>
        </w:tc>
      </w:tr>
      <w:tr w:rsidR="00452D86" w:rsidTr="00452D86">
        <w:trPr>
          <w:trHeight w:val="1740"/>
        </w:trPr>
        <w:tc>
          <w:tcPr>
            <w:tcW w:w="14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※近一年有严重违规招生问题（跨区域招生、委托中介招生等）本项不得分（分部自查自纠情况不计在内）</w:t>
            </w:r>
          </w:p>
        </w:tc>
      </w:tr>
      <w:tr w:rsidR="00452D86" w:rsidTr="00452D86">
        <w:trPr>
          <w:trHeight w:val="1540"/>
        </w:trPr>
        <w:tc>
          <w:tcPr>
            <w:tcW w:w="14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 按国开要求完成入学资格审核（10分）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（53）学生提交的报名材料符合规定情况（6分）</w:t>
            </w:r>
          </w:p>
        </w:tc>
      </w:tr>
    </w:tbl>
    <w:p w:rsidR="00CA03CE" w:rsidRDefault="00CA03CE"/>
    <w:p w:rsidR="00CA03CE" w:rsidRDefault="00CA03CE"/>
    <w:tbl>
      <w:tblPr>
        <w:tblW w:w="13767" w:type="dxa"/>
        <w:tblInd w:w="91" w:type="dxa"/>
        <w:tblLayout w:type="fixed"/>
        <w:tblLook w:val="04A0" w:firstRow="1" w:lastRow="0" w:firstColumn="1" w:lastColumn="0" w:noHBand="0" w:noVBand="1"/>
      </w:tblPr>
      <w:tblGrid>
        <w:gridCol w:w="1420"/>
        <w:gridCol w:w="1429"/>
        <w:gridCol w:w="3547"/>
        <w:gridCol w:w="7371"/>
      </w:tblGrid>
      <w:tr w:rsidR="00452D86" w:rsidTr="00452D86">
        <w:trPr>
          <w:trHeight w:val="850"/>
          <w:tblHead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920"/>
        </w:trPr>
        <w:tc>
          <w:tcPr>
            <w:tcW w:w="1420" w:type="dxa"/>
            <w:tcBorders>
              <w:top w:val="nil"/>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rPr>
                <w:rFonts w:ascii="仿宋" w:eastAsia="仿宋" w:hAnsi="仿宋" w:cs="仿宋"/>
                <w:color w:val="000000"/>
                <w:sz w:val="24"/>
                <w:szCs w:val="24"/>
              </w:rPr>
            </w:pPr>
            <w:r>
              <w:rPr>
                <w:rFonts w:ascii="仿宋" w:eastAsia="仿宋" w:hAnsi="仿宋" w:cs="仿宋" w:hint="eastAsia"/>
                <w:color w:val="000000"/>
                <w:kern w:val="0"/>
                <w:sz w:val="24"/>
                <w:szCs w:val="24"/>
                <w:lang w:bidi="ar"/>
              </w:rPr>
              <w:t>4.1 招生宣传与规范管理（40分）</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 按国开要求完成入学资格审核（10分）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（54）入学资格审核手续齐全、及时的情况（4分）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观测点数量：4</w:t>
            </w:r>
          </w:p>
        </w:tc>
        <w:tc>
          <w:tcPr>
            <w:tcW w:w="7371" w:type="dxa"/>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观测点总分：40</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pPr>
      <w:bookmarkStart w:id="11" w:name="_Toc21319"/>
      <w:r>
        <w:rPr>
          <w:rFonts w:hint="eastAsia"/>
        </w:rPr>
        <w:lastRenderedPageBreak/>
        <w:t>资产管理处</w:t>
      </w:r>
      <w:bookmarkEnd w:id="11"/>
    </w:p>
    <w:p w:rsidR="00CA03CE" w:rsidRDefault="00CA03CE"/>
    <w:tbl>
      <w:tblPr>
        <w:tblW w:w="13767" w:type="dxa"/>
        <w:tblInd w:w="91" w:type="dxa"/>
        <w:tblLayout w:type="fixed"/>
        <w:tblLook w:val="04A0" w:firstRow="1" w:lastRow="0" w:firstColumn="1" w:lastColumn="0" w:noHBand="0" w:noVBand="1"/>
      </w:tblPr>
      <w:tblGrid>
        <w:gridCol w:w="1400"/>
        <w:gridCol w:w="1460"/>
        <w:gridCol w:w="3536"/>
        <w:gridCol w:w="7371"/>
      </w:tblGrid>
      <w:tr w:rsidR="00452D86" w:rsidTr="00452D86">
        <w:trPr>
          <w:trHeight w:val="85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8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 办学设施及信息化办学条件（50分）</w:t>
            </w: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3.4.1 配备与办学规模相适应、基本满足开放大学办学的教室（包括实时联网可远程双向交互的教室、可用于日常教学与考试的教室与计算机教室等）、保密室、档案室、办公场所、录播室等（20分）</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配备与办学规模相适应、基本满足开放大学办学的教室（包括实时联网可远程双向交互的教室、可用于日常教学与考试的教室与计算机教室等）、保密室、档案室、办公场所、录播室等的情况，自有办学场所不应低于60%（20分）</w:t>
            </w:r>
          </w:p>
        </w:tc>
      </w:tr>
      <w:tr w:rsidR="00452D86" w:rsidTr="00452D86">
        <w:trPr>
          <w:trHeight w:val="2216"/>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3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center"/>
              <w:rPr>
                <w:rFonts w:ascii="仿宋" w:eastAsia="仿宋" w:hAnsi="仿宋" w:cs="仿宋"/>
                <w:color w:val="000000"/>
                <w:sz w:val="24"/>
                <w:szCs w:val="24"/>
              </w:rPr>
            </w:pP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观测点数量：1项</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观测点总分：20分</w:t>
            </w:r>
          </w:p>
        </w:tc>
      </w:tr>
    </w:tbl>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pPr>
      <w:bookmarkStart w:id="12" w:name="_Toc12185"/>
      <w:r>
        <w:rPr>
          <w:rFonts w:hint="eastAsia"/>
        </w:rPr>
        <w:lastRenderedPageBreak/>
        <w:t>党委宣传部</w:t>
      </w:r>
      <w:bookmarkEnd w:id="12"/>
    </w:p>
    <w:p w:rsidR="00CA03CE" w:rsidRDefault="00CA03CE">
      <w:pPr>
        <w:rPr>
          <w:rFonts w:ascii="仿宋" w:eastAsia="仿宋" w:hAnsi="仿宋" w:cs="仿宋"/>
        </w:rPr>
      </w:pPr>
    </w:p>
    <w:tbl>
      <w:tblPr>
        <w:tblW w:w="13767" w:type="dxa"/>
        <w:tblInd w:w="91" w:type="dxa"/>
        <w:tblLayout w:type="fixed"/>
        <w:tblLook w:val="04A0" w:firstRow="1" w:lastRow="0" w:firstColumn="1" w:lastColumn="0" w:noHBand="0" w:noVBand="1"/>
      </w:tblPr>
      <w:tblGrid>
        <w:gridCol w:w="1393"/>
        <w:gridCol w:w="1560"/>
        <w:gridCol w:w="3443"/>
        <w:gridCol w:w="7371"/>
      </w:tblGrid>
      <w:tr w:rsidR="00452D86" w:rsidTr="00452D86">
        <w:trPr>
          <w:trHeight w:val="850"/>
          <w:tblHeader/>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一级指标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二级指标</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观测点</w:t>
            </w:r>
          </w:p>
        </w:tc>
      </w:tr>
      <w:tr w:rsidR="00452D86" w:rsidTr="00452D86">
        <w:trPr>
          <w:trHeight w:val="136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1.办学定位（40分）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 强化思想政治教育（15分）</w:t>
            </w:r>
          </w:p>
        </w:tc>
        <w:tc>
          <w:tcPr>
            <w:tcW w:w="3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 强化思想政治和新时代爱国主义教育，落实意识形态工作责任制，建立健全思想政治工作体系，形成“三全育人”工作格局（15分）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（5）思想政治和新时代爱国主义教育工作及其落实情况（重点看过程材料和实施效果）（6分）</w:t>
            </w:r>
          </w:p>
        </w:tc>
      </w:tr>
      <w:tr w:rsidR="00452D86" w:rsidTr="00452D86">
        <w:trPr>
          <w:trHeight w:val="1190"/>
        </w:trPr>
        <w:tc>
          <w:tcPr>
            <w:tcW w:w="1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rPr>
                <w:rFonts w:ascii="仿宋" w:eastAsia="仿宋" w:hAnsi="仿宋" w:cs="仿宋"/>
                <w:color w:val="000000"/>
                <w:sz w:val="24"/>
                <w:szCs w:val="24"/>
              </w:rPr>
            </w:pP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（6）意识形态工作责任制及其落实情况（5分）                                                                                                                                                                                </w:t>
            </w:r>
          </w:p>
        </w:tc>
      </w:tr>
      <w:tr w:rsidR="00452D86" w:rsidTr="00452D86">
        <w:trPr>
          <w:trHeight w:val="1260"/>
        </w:trPr>
        <w:tc>
          <w:tcPr>
            <w:tcW w:w="1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rPr>
                <w:rFonts w:ascii="仿宋" w:eastAsia="仿宋" w:hAnsi="仿宋" w:cs="仿宋"/>
                <w:color w:val="000000"/>
                <w:sz w:val="24"/>
                <w:szCs w:val="24"/>
              </w:rPr>
            </w:pP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（7）“三全育人”工作体系文件资料、过程材料、工作效果（4分）</w:t>
            </w:r>
          </w:p>
        </w:tc>
      </w:tr>
      <w:tr w:rsidR="00452D86" w:rsidTr="00452D86">
        <w:trPr>
          <w:trHeight w:val="1365"/>
        </w:trPr>
        <w:tc>
          <w:tcPr>
            <w:tcW w:w="1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 重视大学文化建设（10分）</w:t>
            </w:r>
          </w:p>
        </w:tc>
        <w:tc>
          <w:tcPr>
            <w:tcW w:w="3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1.3.1 按照“统一品牌”要求，宣传学校文化，践行国家开放大学的质量观，运用国家开放大学的标识、校训、校歌营造校园氛围，落实好国开开展的各项文化活动；有省校校园文化建设（10分）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（8）环境文化是否充分使用开放大学标识、校训，校园文化氛围（3分）</w:t>
            </w:r>
          </w:p>
        </w:tc>
      </w:tr>
      <w:tr w:rsidR="00452D86" w:rsidTr="00452D86">
        <w:trPr>
          <w:trHeight w:val="1689"/>
        </w:trPr>
        <w:tc>
          <w:tcPr>
            <w:tcW w:w="1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（9）学校干部、教师、学生对开放大学的基本文化了解程度（2分）</w:t>
            </w:r>
          </w:p>
        </w:tc>
      </w:tr>
      <w:tr w:rsidR="00452D86" w:rsidTr="00452D86">
        <w:trPr>
          <w:trHeight w:val="850"/>
          <w:tblHeader/>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lastRenderedPageBreak/>
              <w:t>一级指标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二级指标</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观测点</w:t>
            </w:r>
          </w:p>
        </w:tc>
      </w:tr>
      <w:tr w:rsidR="00452D86" w:rsidTr="00452D86">
        <w:trPr>
          <w:trHeight w:val="1950"/>
        </w:trPr>
        <w:tc>
          <w:tcPr>
            <w:tcW w:w="1393"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1.办学定位（40分）</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 重视大学文化建设（10分）</w:t>
            </w:r>
          </w:p>
        </w:tc>
        <w:tc>
          <w:tcPr>
            <w:tcW w:w="3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1.3.1 按照“统一品牌”要求，宣传学校文化，践行国家开放大学的质量观，运用国家开放大学的标识、校训、校歌营造校园氛围，落实好国开开展的各项文化活动；有省校校园文化建设（10分）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（10）国开统一组织的各类文化活动落实情况（2分）</w:t>
            </w:r>
          </w:p>
        </w:tc>
      </w:tr>
      <w:tr w:rsidR="00452D86" w:rsidTr="00452D86">
        <w:trPr>
          <w:trHeight w:val="1955"/>
        </w:trPr>
        <w:tc>
          <w:tcPr>
            <w:tcW w:w="1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（11）全省开大系统校园文化建设（3分）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观测点数量：7</w:t>
            </w:r>
          </w:p>
        </w:tc>
        <w:tc>
          <w:tcPr>
            <w:tcW w:w="7371" w:type="dxa"/>
            <w:tcBorders>
              <w:top w:val="single" w:sz="4" w:space="0" w:color="000000"/>
              <w:left w:val="single" w:sz="4" w:space="0" w:color="000000"/>
              <w:bottom w:val="single" w:sz="4" w:space="0" w:color="000000"/>
              <w:right w:val="nil"/>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观测点总分：25</w:t>
            </w:r>
          </w:p>
        </w:tc>
      </w:tr>
    </w:tbl>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CA03CE">
      <w:pPr>
        <w:jc w:val="left"/>
        <w:rPr>
          <w:rFonts w:eastAsia="仿宋_GB2312"/>
          <w:kern w:val="0"/>
          <w:sz w:val="24"/>
          <w:szCs w:val="24"/>
        </w:rPr>
      </w:pPr>
    </w:p>
    <w:p w:rsidR="00CA03CE" w:rsidRDefault="00401AF5">
      <w:pPr>
        <w:rPr>
          <w:rFonts w:eastAsia="仿宋_GB2312"/>
          <w:kern w:val="0"/>
          <w:sz w:val="24"/>
          <w:szCs w:val="24"/>
        </w:rPr>
      </w:pPr>
      <w:r>
        <w:rPr>
          <w:rFonts w:eastAsia="仿宋_GB2312" w:hint="eastAsia"/>
          <w:kern w:val="0"/>
          <w:sz w:val="24"/>
          <w:szCs w:val="24"/>
        </w:rPr>
        <w:br w:type="page"/>
      </w:r>
    </w:p>
    <w:p w:rsidR="00CA03CE" w:rsidRDefault="00401AF5">
      <w:pPr>
        <w:pStyle w:val="1"/>
      </w:pPr>
      <w:bookmarkStart w:id="13" w:name="_Toc2641"/>
      <w:r>
        <w:rPr>
          <w:rFonts w:hint="eastAsia"/>
        </w:rPr>
        <w:lastRenderedPageBreak/>
        <w:t>现代教育技术中心</w:t>
      </w:r>
      <w:bookmarkEnd w:id="13"/>
    </w:p>
    <w:p w:rsidR="00CA03CE" w:rsidRDefault="00CA03CE"/>
    <w:tbl>
      <w:tblPr>
        <w:tblW w:w="13767" w:type="dxa"/>
        <w:tblInd w:w="91" w:type="dxa"/>
        <w:tblLayout w:type="fixed"/>
        <w:tblLook w:val="04A0" w:firstRow="1" w:lastRow="0" w:firstColumn="1" w:lastColumn="0" w:noHBand="0" w:noVBand="1"/>
      </w:tblPr>
      <w:tblGrid>
        <w:gridCol w:w="1380"/>
        <w:gridCol w:w="1500"/>
        <w:gridCol w:w="3516"/>
        <w:gridCol w:w="7371"/>
      </w:tblGrid>
      <w:tr w:rsidR="00452D86" w:rsidTr="00452D86">
        <w:trPr>
          <w:trHeight w:val="85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530"/>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3.4办学设施及信息化办学条件（50分）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3.4.2 办学环境中的信息化设备充足、适用，使用率高（15分）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（35）服务器数量、网络出口带宽、存储容量、校园网络、计算机等满足办学要求的情况（8分）</w:t>
            </w:r>
          </w:p>
        </w:tc>
      </w:tr>
      <w:tr w:rsidR="00452D86" w:rsidTr="00452D86">
        <w:trPr>
          <w:trHeight w:val="1605"/>
        </w:trPr>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（36）使用率（7分）</w:t>
            </w:r>
          </w:p>
        </w:tc>
      </w:tr>
      <w:tr w:rsidR="00452D86" w:rsidTr="00452D86">
        <w:trPr>
          <w:trHeight w:val="1840"/>
        </w:trPr>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3.4.3 教学信息化平台和工具满足招生专业教学需要（15分）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（37）包括国开课程平台、实训平台、适应云直播等教学工作的教学软件和教学管理软件等满足招生专业教学需要的情况（15分）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观测点数量：3 </w:t>
            </w:r>
          </w:p>
        </w:tc>
        <w:tc>
          <w:tcPr>
            <w:tcW w:w="7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观测点总分：25</w:t>
            </w:r>
          </w:p>
        </w:tc>
      </w:tr>
    </w:tbl>
    <w:p w:rsidR="00452D86" w:rsidRDefault="00452D86">
      <w:pPr>
        <w:pStyle w:val="1"/>
      </w:pPr>
      <w:bookmarkStart w:id="14" w:name="_Toc15314"/>
    </w:p>
    <w:p w:rsidR="00CA03CE" w:rsidRDefault="00401AF5">
      <w:pPr>
        <w:pStyle w:val="1"/>
      </w:pPr>
      <w:r>
        <w:rPr>
          <w:rFonts w:hint="eastAsia"/>
        </w:rPr>
        <w:t>教务处</w:t>
      </w:r>
      <w:bookmarkEnd w:id="14"/>
    </w:p>
    <w:p w:rsidR="00CA03CE" w:rsidRDefault="00CA03CE">
      <w:pPr>
        <w:rPr>
          <w:rFonts w:ascii="仿宋" w:eastAsia="仿宋" w:hAnsi="仿宋" w:cs="仿宋"/>
        </w:rPr>
      </w:pPr>
    </w:p>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31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2.体系办学（120分）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 国开教学相关工作落实情况（20分）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2.1.1 及时传达、部署、完成国开教学相关文件要求（10分）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（12）有对国开文件的转发、部署、落实等工作机制和记录（5分）</w:t>
            </w:r>
          </w:p>
        </w:tc>
      </w:tr>
      <w:tr w:rsidR="00452D86" w:rsidTr="00452D86">
        <w:trPr>
          <w:trHeight w:val="129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（13）落实国开教学相关文件的及时准确程度（5分）</w:t>
            </w:r>
          </w:p>
        </w:tc>
      </w:tr>
      <w:tr w:rsidR="00452D86" w:rsidTr="00452D86">
        <w:trPr>
          <w:trHeight w:val="125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2.1.2 全面参与国开开展的相关教学工作（10分）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（14）参与国开开展的相关教学工作的情况（10分）</w:t>
            </w:r>
          </w:p>
        </w:tc>
      </w:tr>
      <w:tr w:rsidR="00452D86" w:rsidTr="00452D86">
        <w:trPr>
          <w:trHeight w:val="129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2.2统筹全省开大的系统办学及体系建设（70</w:t>
            </w:r>
            <w:r>
              <w:rPr>
                <w:rFonts w:ascii="仿宋" w:eastAsia="仿宋" w:hAnsi="仿宋" w:cs="仿宋" w:hint="eastAsia"/>
                <w:color w:val="000000"/>
                <w:kern w:val="0"/>
                <w:sz w:val="24"/>
                <w:szCs w:val="24"/>
                <w:lang w:bidi="ar"/>
              </w:rPr>
              <w:lastRenderedPageBreak/>
              <w:t>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2.2.3 省校对分校进行有效业务指导，对教学相关工作有任务要求、有数据考核、有奖惩措施（20分）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（20）省校对分校的业务开展进行有效指导的情况（10分）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（21）省校对分校的教学相关工作明确任务要求、考核指标和奖惩措施的情况（10分）</w:t>
            </w:r>
          </w:p>
        </w:tc>
      </w:tr>
      <w:tr w:rsidR="00452D86" w:rsidTr="00452D86">
        <w:trPr>
          <w:trHeight w:val="264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3.条件保障（290分）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3.5制度建设（15分）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3.5.1 招生、教学、学习资源建设、形成性考核、终结性考试、学籍、质量管理、学习支持服务、教学团队等方面制度文件齐全有效（8分）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（38）招生、教学、学习资源建设、形成性考核、终结性考试、学籍、质量管理、学习支持服务、教学团队等方面制度文件齐全有效的情况（8分）；有缺失的酌情减分</w:t>
            </w:r>
          </w:p>
        </w:tc>
      </w:tr>
      <w:tr w:rsidR="00452D86" w:rsidTr="00452D86">
        <w:trPr>
          <w:trHeight w:val="133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 学科专业建设（20分）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3.6.1 有专业建设能力，有学科研究、教学研究成果（10分）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（40）建设（共享）专业和课程质量情况（6分）</w:t>
            </w:r>
          </w:p>
        </w:tc>
      </w:tr>
      <w:tr w:rsidR="00452D86" w:rsidTr="00452D86">
        <w:trPr>
          <w:trHeight w:val="131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（41）学科研究、教学研究成果情况（4分）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3.6.2 落实指导性人才培养方案，配套实施性教学计划，且体现地方特色（10分）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（42）落实指导性人才培养方案，配套实施性教学计划情况（7分）</w:t>
            </w:r>
          </w:p>
        </w:tc>
      </w:tr>
      <w:tr w:rsidR="00452D86" w:rsidTr="00452D86">
        <w:trPr>
          <w:trHeight w:val="127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（43）实施性教学计划体现地方特色的情况（3分）</w:t>
            </w:r>
          </w:p>
        </w:tc>
      </w:tr>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415"/>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 学习资源配置（65分）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*3.7.1 统设课程文字主教材配置率高（30分）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（44）70%及以上（26-30分）；50%-69%（11-25分）；40%-49%（1-10分）；不足40%（0分）</w:t>
            </w:r>
          </w:p>
        </w:tc>
      </w:tr>
      <w:tr w:rsidR="00452D86" w:rsidTr="00452D86">
        <w:trPr>
          <w:trHeight w:val="132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3.条件保障（290分）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 学习资源配置（65分）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3.7.2 负责的专业选修课和牵头建设专业的必修课资源建设质量高、有特色，应用效果好（25分）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（45）按照国开规定的学习资源配置要求，资源建设质量和特色情况（15分）</w:t>
            </w:r>
          </w:p>
        </w:tc>
      </w:tr>
      <w:tr w:rsidR="00452D86" w:rsidTr="00452D86">
        <w:trPr>
          <w:trHeight w:val="108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（46）优质资源向社会推广、开放的情况（10分）</w:t>
            </w:r>
          </w:p>
        </w:tc>
      </w:tr>
      <w:tr w:rsidR="00452D86" w:rsidTr="00452D86">
        <w:trPr>
          <w:trHeight w:val="135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4.2线上线下教学的组织管理与实施效果（70分）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6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4.2.2 有教学团队建设运行、人员资金等方面的支持的政策、评价激励办法。能够以教学团队落实教学过程、开展教研活动、保证教学效果且有据可查。教学团队实施教学服务充分，积极参与国开核心团队工作（20分）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（57）省校对教学团队工作出台的管理和激励办法及落实情况（8分）</w:t>
            </w:r>
          </w:p>
        </w:tc>
      </w:tr>
      <w:tr w:rsidR="00452D86" w:rsidTr="00452D86">
        <w:trPr>
          <w:trHeight w:val="129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（58）省校组织教学实施团队的数量和比例（6分）</w:t>
            </w:r>
          </w:p>
        </w:tc>
      </w:tr>
      <w:tr w:rsidR="00452D86" w:rsidTr="00452D86">
        <w:trPr>
          <w:trHeight w:val="139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（59）参加国开核心教学团队工作情况（6分）</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4.2线上线下教学的组织管理与实施效果（70分）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*4.2.3 国开学习网上的教与学关键数据指标良好（20分）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（60）教师平均在线天数</w:t>
            </w:r>
          </w:p>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（61）学生平均在线天数</w:t>
            </w:r>
          </w:p>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*4.2.3 国开学习网上的教与学关键数据指标良好（20分）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（62）教师人均在线行为次数（4分）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（63）生均在线学习行为次数（4分）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（64）学生帖回复率（4分）      ※近一年任一学期生均在线学习行为次数低于1200，本项不得分</w:t>
            </w:r>
          </w:p>
        </w:tc>
      </w:tr>
    </w:tbl>
    <w:p w:rsidR="00CA03CE" w:rsidRDefault="00CA03CE"/>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590"/>
        </w:trPr>
        <w:tc>
          <w:tcPr>
            <w:tcW w:w="140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 实践教学（40分）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4.3.2 毕业实践环节教师指导人数符合规定且指导充分。毕业答辩、审核过程规范、结果严谨（20分）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（69）毕业答辩和审核管理规范的情况（8分）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（74）纸质形考作业评阅过程中教师签名、打分的情况，在作业评阅中体现教学反馈情况（7分）</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4.5形成性考核和终结性考试的组织、实施、评阅和成绩管理（90分）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4.5.1认真执行形成性考核的规定和要求，评阅和成绩管理严格，存档规范（15分）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（75）网上形考作业提交及时，批改及时，登分无差错</w:t>
            </w:r>
          </w:p>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（6分）</w:t>
            </w:r>
          </w:p>
        </w:tc>
      </w:tr>
      <w:tr w:rsidR="00452D86" w:rsidTr="00452D86">
        <w:trPr>
          <w:trHeight w:val="138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（76）存档规范（2分）                  ※存档缺失严重的，此项得分不得超过5分</w:t>
            </w:r>
          </w:p>
        </w:tc>
      </w:tr>
      <w:tr w:rsidR="00452D86" w:rsidTr="00452D86">
        <w:trPr>
          <w:trHeight w:val="159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4.5.2有定期检查形成性考核完成情况和评阅质量的机制（20分）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（77）定期检查形成性考核完成情况和评阅质量的机制情况（20分）</w:t>
            </w:r>
          </w:p>
        </w:tc>
      </w:tr>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685"/>
        </w:trPr>
        <w:tc>
          <w:tcPr>
            <w:tcW w:w="140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4.教学运行与效果（340分）</w:t>
            </w:r>
          </w:p>
        </w:tc>
        <w:tc>
          <w:tcPr>
            <w:tcW w:w="148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4.5形成性考核和终结性考试的组织、实施、评阅和成绩管理（90分）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*4.5.3 严格落实国家开放大学关于终结性考试的各项要求；考试组织与管理规范，认真组织考务人员业务培训，有效组织蹲考、巡考工作；有效落实学生诚信教育；严管考风考纪，对违纪学生及时处理、通报曝光（35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（78）落实国开终结性考试文件要求，及时下发并有效落实情况（5分）</w:t>
            </w:r>
          </w:p>
        </w:tc>
      </w:tr>
      <w:tr w:rsidR="00452D86" w:rsidTr="00452D86">
        <w:trPr>
          <w:trHeight w:val="248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（79）组织考试工作人员（含主考、巡考人员、监考人员）业务培训和考核，落实考试工作人员持证上岗要求情况（10分）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（80）有效组织蹲考、巡考工作情况（8分）</w:t>
            </w:r>
          </w:p>
        </w:tc>
      </w:tr>
      <w:tr w:rsidR="00452D86" w:rsidTr="00452D86">
        <w:trPr>
          <w:trHeight w:val="32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60" w:lineRule="exact"/>
              <w:jc w:val="left"/>
              <w:rPr>
                <w:rFonts w:ascii="仿宋" w:eastAsia="仿宋" w:hAnsi="仿宋" w:cs="仿宋"/>
                <w:color w:val="000000"/>
                <w:sz w:val="24"/>
                <w:szCs w:val="24"/>
              </w:rPr>
            </w:pPr>
          </w:p>
        </w:tc>
      </w:tr>
      <w:tr w:rsidR="00452D86" w:rsidTr="00452D86">
        <w:trPr>
          <w:trHeight w:val="172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4.5形成性考核和终结性考试的组织、实施、</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*4.5.3 严格落实国家开放大学关于终结性考试的各项要求；考试组织与管理规范，认真组织考务人员业务培训，</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（81）有效落实学生诚信教育情况（5分）</w:t>
            </w:r>
          </w:p>
        </w:tc>
      </w:tr>
      <w:tr w:rsidR="00452D86" w:rsidTr="00452D86">
        <w:trPr>
          <w:trHeight w:val="270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4.教学运行与效果（340分）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评阅和成绩管理（90分）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有效组织蹲考、巡考工作；有效落实学生诚信教育；严管考风考纪，对违纪学生及时处理、通报曝光（35分）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（82）及时严肃处理违规事件、通报曝光（7分）             ※近一年总部查处或社会曝光分部系统存在严重考试违规行为或存在有组织替考，或考试组织造成不良社会影响的本项不得分（分部自查自纠情况不计在内）</w:t>
            </w:r>
          </w:p>
        </w:tc>
      </w:tr>
      <w:tr w:rsidR="00452D86" w:rsidTr="00452D86">
        <w:trPr>
          <w:trHeight w:val="1560"/>
        </w:trPr>
        <w:tc>
          <w:tcPr>
            <w:tcW w:w="140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4.5形成性考核和终结性考试的组织、实施、评阅和成绩管理（90分）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4.5.4 终结性考试试卷接收、入库、分发、评阅、成绩登录及管理等环节组织严密，管理严格规范（20分）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（83）试卷接收、入库、分发、评阅等环节规范有序可查，严格落实抽检的情况（7分）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（84）成绩登录及管理等环节组织严密，管理严格规范的情况（7分）</w:t>
            </w:r>
          </w:p>
        </w:tc>
      </w:tr>
      <w:tr w:rsidR="00452D86" w:rsidTr="00452D86">
        <w:trPr>
          <w:trHeight w:val="145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4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（85）定期开展考试成绩分析并反馈教学环节的情况（6分）</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 学习支持服务和满意度（50分）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4.6.1 能及时解决学生学习过程中遇到的各种问题；由专人负责或有专门渠道及时提供学生咨询服务，处理及时，学生对处理结果满意度高（15分）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（86）省校对学生学习支持服务事务的响应速度情况（5分）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（87）由专人负责或有专门渠道及时提供学生咨询服务情况（3分）</w:t>
            </w:r>
          </w:p>
        </w:tc>
      </w:tr>
      <w:tr w:rsidR="00452D86" w:rsidTr="00452D86">
        <w:trPr>
          <w:trHeight w:val="124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（88）处理及时（4分）</w:t>
            </w:r>
          </w:p>
        </w:tc>
      </w:tr>
      <w:tr w:rsidR="00452D86" w:rsidTr="00452D86">
        <w:trPr>
          <w:trHeight w:val="138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（89）学生对处理结果的满意度（3分）</w:t>
            </w:r>
          </w:p>
        </w:tc>
      </w:tr>
      <w:tr w:rsidR="00452D86" w:rsidTr="00452D86">
        <w:trPr>
          <w:trHeight w:val="210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28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4.6.2 使用电话、网络、手机App、线下等多种方式向学生提供学术、非学术支持服务（15分）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（90）省校向学生提供学习支持服务的工具具有多样性，学生可以通过多种方式获取支持服务的情况（10分）</w:t>
            </w:r>
          </w:p>
        </w:tc>
      </w:tr>
    </w:tbl>
    <w:p w:rsidR="00CA03CE" w:rsidRDefault="00CA03CE"/>
    <w:tbl>
      <w:tblPr>
        <w:tblW w:w="13767" w:type="dxa"/>
        <w:tblInd w:w="91" w:type="dxa"/>
        <w:tblLayout w:type="fixed"/>
        <w:tblLook w:val="04A0" w:firstRow="1" w:lastRow="0" w:firstColumn="1" w:lastColumn="0" w:noHBand="0" w:noVBand="1"/>
      </w:tblPr>
      <w:tblGrid>
        <w:gridCol w:w="1400"/>
        <w:gridCol w:w="1480"/>
        <w:gridCol w:w="3516"/>
        <w:gridCol w:w="7371"/>
      </w:tblGrid>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755"/>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 学习支持服务和满意度（50分）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4.6.2 使用电话、网络、手机App、线下等多种方式向学生提供学术、非学术支持服务（15分）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（91）省校向学生提供的支持服务的内容具有广泛性，覆盖学术和非学术两方面的情况（5分）</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 学籍、毕业及学位管理（30分）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4.7.1 学籍管理流程规范，有与学生规模相适应的学籍管理人员，学生档案保存良好，关键环节落实到位（6分）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（93）学籍管理制度完整，流程执行规范（3分）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（94）学籍管理岗位人员与学生规模相适应（3分）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4.7.2 毕业管理过程规范，关键环节落实到位（6分）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（95）毕业生登记表填写规范情况（2分）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（96）毕业资格审核规范情况（4分）</w:t>
            </w:r>
          </w:p>
        </w:tc>
      </w:tr>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215"/>
        </w:trPr>
        <w:tc>
          <w:tcPr>
            <w:tcW w:w="140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 学籍、毕业及学位管理（30分）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4.7.3 学位管理流程规范，学位审核严谨，关键环节落实到位（6分）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（97）学位审核表填写规范情况（2分）</w:t>
            </w:r>
          </w:p>
        </w:tc>
      </w:tr>
      <w:tr w:rsidR="00452D86" w:rsidTr="00452D86">
        <w:trPr>
          <w:trHeight w:val="117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（98）审核意见填写规范情况（4分）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4.7.4 毕业证书和学位证书保管得当、发放及时（6分）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（99）毕业证书保存、移交和发放签收规范情况（3分）</w:t>
            </w:r>
          </w:p>
        </w:tc>
      </w:tr>
      <w:tr w:rsidR="00452D86" w:rsidTr="00452D86">
        <w:trPr>
          <w:trHeight w:val="138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4.教学运行与效果（340分）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 学籍、毕业及学位管理（30分）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4.7.4 毕业证书和学位证书保管得当、发放及时（6分）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（100）学位证书保存、移交和发放签收规范情况（3分）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4.7.5 免修免考管理流程规范，审核严谨，反馈及时（6分）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（101）省校按规范标准进行免修免考审核并上报的情况（4分）</w:t>
            </w:r>
          </w:p>
        </w:tc>
      </w:tr>
      <w:tr w:rsidR="00452D86" w:rsidTr="00452D86">
        <w:trPr>
          <w:trHeight w:val="1015"/>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（102）反馈结果及时（2分）</w:t>
            </w:r>
          </w:p>
        </w:tc>
      </w:tr>
      <w:tr w:rsidR="00452D86" w:rsidTr="00452D86">
        <w:trPr>
          <w:trHeight w:val="156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6.创新与服务（90分）</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 人才培养模式改革、教学改革、管理制度创新（40分）</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6.1.1 积极参加国开组织的教学改革试点，教学改革、人才培养模式改革思路清晰，有举措、有进展（20分）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（114）人才培养模式改革，以及教学模式、管理模式、运行机制的提炼表述情况（10分）</w:t>
            </w:r>
          </w:p>
        </w:tc>
      </w:tr>
      <w:tr w:rsidR="00452D86" w:rsidTr="00452D86">
        <w:trPr>
          <w:trHeight w:val="19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（115）改革的措施、进展、痕迹、成效情况（10分）</w:t>
            </w:r>
          </w:p>
        </w:tc>
      </w:tr>
      <w:tr w:rsidR="00452D86" w:rsidTr="00452D86">
        <w:trPr>
          <w:trHeight w:val="156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6.1.2 教学管理制度建设有创新（20分）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（116）教学管理制度建设在全面规范基础上的特色、创新程度（10分）</w:t>
            </w:r>
          </w:p>
        </w:tc>
      </w:tr>
      <w:tr w:rsidR="00452D86" w:rsidTr="00452D86">
        <w:trPr>
          <w:trHeight w:val="127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rPr>
                <w:rFonts w:ascii="仿宋" w:eastAsia="仿宋" w:hAnsi="仿宋" w:cs="仿宋"/>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（117）可复制、可推广的程度（10分）</w:t>
            </w:r>
          </w:p>
        </w:tc>
      </w:tr>
      <w:tr w:rsidR="00452D86" w:rsidTr="00452D86">
        <w:trPr>
          <w:trHeight w:val="158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6.创新与服务（90分）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6.2服务经济社会发展的效果与影响（50分）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 取得高水平教学科研成果，培养的学生获得政府奖励或在地方有影响力（15分）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（122）获得国家级教学科研成果情况（10分）</w:t>
            </w:r>
          </w:p>
        </w:tc>
      </w:tr>
      <w:tr w:rsidR="00452D86" w:rsidTr="00452D86">
        <w:trPr>
          <w:trHeight w:val="850"/>
          <w:tblHeader/>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一级指标</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三级指标</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观测点</w:t>
            </w:r>
          </w:p>
        </w:tc>
      </w:tr>
      <w:tr w:rsidR="00452D86" w:rsidTr="00452D86">
        <w:trPr>
          <w:trHeight w:val="1560"/>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6.创新与服务（90分）</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6.2服务经济社会发展的效果与影响（50分）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 取得高水平教学科研成果，培养的学生获得政府奖励或在地方有影响力（15分）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D86" w:rsidRDefault="00452D86">
            <w:pPr>
              <w:widowControl/>
              <w:spacing w:line="32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（123）培养的学生获得政府奖励或在地方影响的情况（5分）</w:t>
            </w:r>
          </w:p>
        </w:tc>
      </w:tr>
      <w:tr w:rsidR="00452D86" w:rsidTr="00452D86">
        <w:trPr>
          <w:trHeight w:val="850"/>
        </w:trPr>
        <w:tc>
          <w:tcPr>
            <w:tcW w:w="63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观测点数量：60</w:t>
            </w:r>
          </w:p>
        </w:tc>
        <w:tc>
          <w:tcPr>
            <w:tcW w:w="7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2D86" w:rsidRDefault="00452D86">
            <w:pPr>
              <w:widowControl/>
              <w:spacing w:line="32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观测点总分：408</w:t>
            </w:r>
          </w:p>
        </w:tc>
      </w:tr>
    </w:tbl>
    <w:p w:rsidR="00CA03CE" w:rsidRDefault="00CA03CE">
      <w:pPr>
        <w:rPr>
          <w:rFonts w:eastAsia="仿宋_GB2312"/>
          <w:kern w:val="0"/>
          <w:sz w:val="24"/>
          <w:szCs w:val="24"/>
        </w:rPr>
      </w:pPr>
    </w:p>
    <w:p w:rsidR="00CA03CE" w:rsidRDefault="00CA03CE">
      <w:bookmarkStart w:id="15" w:name="_Toc28735"/>
    </w:p>
    <w:bookmarkEnd w:id="15"/>
    <w:p w:rsidR="00CA03CE" w:rsidRDefault="00CA03CE"/>
    <w:sectPr w:rsidR="00CA03CE" w:rsidSect="00452D86">
      <w:pgSz w:w="16838" w:h="11906" w:orient="landscape"/>
      <w:pgMar w:top="1417" w:right="1440" w:bottom="1417" w:left="1440" w:header="851" w:footer="1020" w:gutter="0"/>
      <w:cols w:space="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9D" w:rsidRDefault="00016D9D">
      <w:r>
        <w:separator/>
      </w:r>
    </w:p>
  </w:endnote>
  <w:endnote w:type="continuationSeparator" w:id="0">
    <w:p w:rsidR="00016D9D" w:rsidRDefault="0001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00000" w:usb2="00000000" w:usb3="00000000" w:csb0="00040000" w:csb1="00000000"/>
  </w:font>
  <w:font w:name="Calibri Ligh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3CE" w:rsidRDefault="00401AF5">
    <w:pPr>
      <w:pStyle w:val="a3"/>
    </w:pPr>
    <w:r>
      <w:rPr>
        <w:noProof/>
      </w:rPr>
      <mc:AlternateContent>
        <mc:Choice Requires="wps">
          <w:drawing>
            <wp:anchor distT="0" distB="0" distL="114300" distR="114300" simplePos="0" relativeHeight="251659264" behindDoc="0" locked="0" layoutInCell="1" allowOverlap="1" wp14:anchorId="4F907622" wp14:editId="7410D1F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03CE" w:rsidRDefault="00401AF5">
                          <w:pPr>
                            <w:pStyle w:val="a3"/>
                          </w:pPr>
                          <w:r>
                            <w:fldChar w:fldCharType="begin"/>
                          </w:r>
                          <w:r>
                            <w:instrText xml:space="preserve"> PAGE  \* MERGEFORMAT </w:instrText>
                          </w:r>
                          <w:r>
                            <w:fldChar w:fldCharType="separate"/>
                          </w:r>
                          <w:r w:rsidR="009C558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A03CE" w:rsidRDefault="00401AF5">
                    <w:pPr>
                      <w:pStyle w:val="a3"/>
                    </w:pPr>
                    <w:r>
                      <w:fldChar w:fldCharType="begin"/>
                    </w:r>
                    <w:r>
                      <w:instrText xml:space="preserve"> PAGE  \* MERGEFORMAT </w:instrText>
                    </w:r>
                    <w:r>
                      <w:fldChar w:fldCharType="separate"/>
                    </w:r>
                    <w:r w:rsidR="009C558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3CE" w:rsidRDefault="00401AF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03CE" w:rsidRDefault="00401AF5">
                          <w:pPr>
                            <w:pStyle w:val="a3"/>
                          </w:pPr>
                          <w:r>
                            <w:fldChar w:fldCharType="begin"/>
                          </w:r>
                          <w:r>
                            <w:instrText xml:space="preserve"> PAGE  \* MERGEFORMAT </w:instrText>
                          </w:r>
                          <w:r>
                            <w:fldChar w:fldCharType="separate"/>
                          </w:r>
                          <w:r w:rsidR="009C558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CA03CE" w:rsidRDefault="00401AF5">
                    <w:pPr>
                      <w:pStyle w:val="a3"/>
                    </w:pPr>
                    <w:r>
                      <w:fldChar w:fldCharType="begin"/>
                    </w:r>
                    <w:r>
                      <w:instrText xml:space="preserve"> PAGE  \* MERGEFORMAT </w:instrText>
                    </w:r>
                    <w:r>
                      <w:fldChar w:fldCharType="separate"/>
                    </w:r>
                    <w:r w:rsidR="009C558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9D" w:rsidRDefault="00016D9D">
      <w:r>
        <w:separator/>
      </w:r>
    </w:p>
  </w:footnote>
  <w:footnote w:type="continuationSeparator" w:id="0">
    <w:p w:rsidR="00016D9D" w:rsidRDefault="00016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rawingGridVerticalSpacing w:val="16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2U2MDI5YjQ1ZTI0ZDI4OTYzY2RhOTA3NmUzOWEifQ=="/>
  </w:docVars>
  <w:rsids>
    <w:rsidRoot w:val="00021280"/>
    <w:rsid w:val="00016D9D"/>
    <w:rsid w:val="00021280"/>
    <w:rsid w:val="00023A55"/>
    <w:rsid w:val="00046359"/>
    <w:rsid w:val="001C248E"/>
    <w:rsid w:val="001C2AA9"/>
    <w:rsid w:val="001D2CE0"/>
    <w:rsid w:val="002874D8"/>
    <w:rsid w:val="002A07EB"/>
    <w:rsid w:val="002B08B0"/>
    <w:rsid w:val="00360426"/>
    <w:rsid w:val="003B2898"/>
    <w:rsid w:val="003B77BA"/>
    <w:rsid w:val="003D1EC8"/>
    <w:rsid w:val="003F4835"/>
    <w:rsid w:val="00401AF5"/>
    <w:rsid w:val="004372BD"/>
    <w:rsid w:val="00452D86"/>
    <w:rsid w:val="00490967"/>
    <w:rsid w:val="004F413F"/>
    <w:rsid w:val="00517DA5"/>
    <w:rsid w:val="0056698F"/>
    <w:rsid w:val="005901E8"/>
    <w:rsid w:val="005F2093"/>
    <w:rsid w:val="00615B8C"/>
    <w:rsid w:val="00716EFA"/>
    <w:rsid w:val="00744CEB"/>
    <w:rsid w:val="00751D94"/>
    <w:rsid w:val="007655C6"/>
    <w:rsid w:val="007D7213"/>
    <w:rsid w:val="0082249E"/>
    <w:rsid w:val="008377C3"/>
    <w:rsid w:val="0087515F"/>
    <w:rsid w:val="00920201"/>
    <w:rsid w:val="0093148A"/>
    <w:rsid w:val="009320E1"/>
    <w:rsid w:val="00954B90"/>
    <w:rsid w:val="009C5583"/>
    <w:rsid w:val="00A00196"/>
    <w:rsid w:val="00A75862"/>
    <w:rsid w:val="00A97A97"/>
    <w:rsid w:val="00AC5A66"/>
    <w:rsid w:val="00B67D6F"/>
    <w:rsid w:val="00B87835"/>
    <w:rsid w:val="00BB4870"/>
    <w:rsid w:val="00BF098D"/>
    <w:rsid w:val="00C10588"/>
    <w:rsid w:val="00C46F8E"/>
    <w:rsid w:val="00C67322"/>
    <w:rsid w:val="00C8562B"/>
    <w:rsid w:val="00CA03CE"/>
    <w:rsid w:val="00D4045C"/>
    <w:rsid w:val="00DC0AC5"/>
    <w:rsid w:val="00E1751F"/>
    <w:rsid w:val="00E7644D"/>
    <w:rsid w:val="00EB466A"/>
    <w:rsid w:val="00EC59F9"/>
    <w:rsid w:val="00FE6171"/>
    <w:rsid w:val="01ED08E8"/>
    <w:rsid w:val="01F95C3E"/>
    <w:rsid w:val="02126424"/>
    <w:rsid w:val="02E222AC"/>
    <w:rsid w:val="02F86B08"/>
    <w:rsid w:val="03C5421F"/>
    <w:rsid w:val="042C1C2A"/>
    <w:rsid w:val="05D26177"/>
    <w:rsid w:val="0958469C"/>
    <w:rsid w:val="09E507DE"/>
    <w:rsid w:val="0C13287F"/>
    <w:rsid w:val="0DE03748"/>
    <w:rsid w:val="0E2F07D4"/>
    <w:rsid w:val="0E667655"/>
    <w:rsid w:val="0F912608"/>
    <w:rsid w:val="108E4987"/>
    <w:rsid w:val="13900600"/>
    <w:rsid w:val="14AE1E28"/>
    <w:rsid w:val="187419DB"/>
    <w:rsid w:val="18B64B50"/>
    <w:rsid w:val="18D4607F"/>
    <w:rsid w:val="19BA1A2F"/>
    <w:rsid w:val="19BF142F"/>
    <w:rsid w:val="1A45115B"/>
    <w:rsid w:val="1BA053A7"/>
    <w:rsid w:val="1D1E562B"/>
    <w:rsid w:val="1EED0A2C"/>
    <w:rsid w:val="203E3276"/>
    <w:rsid w:val="21B04336"/>
    <w:rsid w:val="220719FF"/>
    <w:rsid w:val="241E421E"/>
    <w:rsid w:val="255478DA"/>
    <w:rsid w:val="256C28DB"/>
    <w:rsid w:val="25A54EDE"/>
    <w:rsid w:val="2608566F"/>
    <w:rsid w:val="26F06753"/>
    <w:rsid w:val="29B570DA"/>
    <w:rsid w:val="2AEC18F3"/>
    <w:rsid w:val="2AEF1D1B"/>
    <w:rsid w:val="2CB8344B"/>
    <w:rsid w:val="2CBE65E8"/>
    <w:rsid w:val="2CEA2DA6"/>
    <w:rsid w:val="2DC27BF0"/>
    <w:rsid w:val="2F5C1DA5"/>
    <w:rsid w:val="2FBD0BB1"/>
    <w:rsid w:val="2FEE74CD"/>
    <w:rsid w:val="30B17727"/>
    <w:rsid w:val="30CB65B9"/>
    <w:rsid w:val="31360425"/>
    <w:rsid w:val="31486823"/>
    <w:rsid w:val="328B42D0"/>
    <w:rsid w:val="354907E7"/>
    <w:rsid w:val="35FF4779"/>
    <w:rsid w:val="36136CF6"/>
    <w:rsid w:val="376571B4"/>
    <w:rsid w:val="397D2FBF"/>
    <w:rsid w:val="39B73B6A"/>
    <w:rsid w:val="39F23F2A"/>
    <w:rsid w:val="3A6C0F34"/>
    <w:rsid w:val="3C0F0D2F"/>
    <w:rsid w:val="3CA1445A"/>
    <w:rsid w:val="3D5F4389"/>
    <w:rsid w:val="3E05505C"/>
    <w:rsid w:val="3F6E3B44"/>
    <w:rsid w:val="3FAA4CC4"/>
    <w:rsid w:val="412512D2"/>
    <w:rsid w:val="42AC1E73"/>
    <w:rsid w:val="42D7285E"/>
    <w:rsid w:val="44190515"/>
    <w:rsid w:val="457C72A1"/>
    <w:rsid w:val="47C85FDE"/>
    <w:rsid w:val="48936F8B"/>
    <w:rsid w:val="491A45FD"/>
    <w:rsid w:val="49A35E02"/>
    <w:rsid w:val="4AC9433B"/>
    <w:rsid w:val="4AE90040"/>
    <w:rsid w:val="4AFD28A9"/>
    <w:rsid w:val="4B827F7C"/>
    <w:rsid w:val="4BC476A9"/>
    <w:rsid w:val="4BC517CF"/>
    <w:rsid w:val="4D631D51"/>
    <w:rsid w:val="4EA20466"/>
    <w:rsid w:val="5073666F"/>
    <w:rsid w:val="513C4C70"/>
    <w:rsid w:val="51564456"/>
    <w:rsid w:val="51912B06"/>
    <w:rsid w:val="529C763E"/>
    <w:rsid w:val="52D82032"/>
    <w:rsid w:val="550544E6"/>
    <w:rsid w:val="55E44FB1"/>
    <w:rsid w:val="58913D27"/>
    <w:rsid w:val="5925158A"/>
    <w:rsid w:val="596F32DD"/>
    <w:rsid w:val="5A1062D5"/>
    <w:rsid w:val="5B89006B"/>
    <w:rsid w:val="5B8F3E1B"/>
    <w:rsid w:val="5BA43B76"/>
    <w:rsid w:val="5BC404C2"/>
    <w:rsid w:val="5C263489"/>
    <w:rsid w:val="5D34345C"/>
    <w:rsid w:val="5D363FD7"/>
    <w:rsid w:val="5DC97BA7"/>
    <w:rsid w:val="5DFE226F"/>
    <w:rsid w:val="5F2550F5"/>
    <w:rsid w:val="5F430117"/>
    <w:rsid w:val="5F6917F1"/>
    <w:rsid w:val="5F6B1067"/>
    <w:rsid w:val="601C6AE3"/>
    <w:rsid w:val="60674BC1"/>
    <w:rsid w:val="616574E1"/>
    <w:rsid w:val="61CB0056"/>
    <w:rsid w:val="63F91FC8"/>
    <w:rsid w:val="65556AA0"/>
    <w:rsid w:val="65A43583"/>
    <w:rsid w:val="68D16A66"/>
    <w:rsid w:val="69241D36"/>
    <w:rsid w:val="6BCB6FEE"/>
    <w:rsid w:val="6BFD0785"/>
    <w:rsid w:val="6C5E42EC"/>
    <w:rsid w:val="6E0D0C65"/>
    <w:rsid w:val="6EEF72A9"/>
    <w:rsid w:val="702376A0"/>
    <w:rsid w:val="74AD7AAE"/>
    <w:rsid w:val="74DA7B58"/>
    <w:rsid w:val="74ED4486"/>
    <w:rsid w:val="75347015"/>
    <w:rsid w:val="757C4934"/>
    <w:rsid w:val="76A30685"/>
    <w:rsid w:val="77571E17"/>
    <w:rsid w:val="779A1452"/>
    <w:rsid w:val="77E6014B"/>
    <w:rsid w:val="77ED24A7"/>
    <w:rsid w:val="792425C0"/>
    <w:rsid w:val="798876E3"/>
    <w:rsid w:val="7C8A7FE2"/>
    <w:rsid w:val="7D875BBB"/>
    <w:rsid w:val="7DA1728F"/>
    <w:rsid w:val="7FD8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keepLines/>
      <w:spacing w:line="576" w:lineRule="auto"/>
      <w:jc w:val="center"/>
      <w:outlineLvl w:val="0"/>
    </w:pPr>
    <w:rPr>
      <w:rFonts w:eastAsia="方正小标宋简体"/>
      <w:kern w:val="44"/>
      <w:sz w:val="36"/>
    </w:rPr>
  </w:style>
  <w:style w:type="paragraph" w:styleId="2">
    <w:name w:val="heading 2"/>
    <w:basedOn w:val="a"/>
    <w:next w:val="a"/>
    <w:link w:val="2Char"/>
    <w:uiPriority w:val="9"/>
    <w:unhideWhenUsed/>
    <w:qFormat/>
    <w:rsid w:val="009C55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unhideWhenUsed/>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font61">
    <w:name w:val="font61"/>
    <w:basedOn w:val="a0"/>
    <w:qFormat/>
    <w:rPr>
      <w:rFonts w:ascii="仿宋" w:eastAsia="仿宋" w:hAnsi="仿宋" w:cs="仿宋" w:hint="eastAsia"/>
      <w:color w:val="000000"/>
      <w:sz w:val="28"/>
      <w:szCs w:val="28"/>
      <w:u w:val="none"/>
    </w:rPr>
  </w:style>
  <w:style w:type="character" w:customStyle="1" w:styleId="font41">
    <w:name w:val="font41"/>
    <w:basedOn w:val="a0"/>
    <w:qFormat/>
    <w:rPr>
      <w:rFonts w:ascii="Wingdings 2" w:eastAsia="Wingdings 2" w:hAnsi="Wingdings 2" w:cs="Wingdings 2"/>
      <w:color w:val="000000"/>
      <w:sz w:val="28"/>
      <w:szCs w:val="28"/>
      <w:u w:val="none"/>
    </w:rPr>
  </w:style>
  <w:style w:type="character" w:customStyle="1" w:styleId="font31">
    <w:name w:val="font31"/>
    <w:basedOn w:val="a0"/>
    <w:qFormat/>
    <w:rPr>
      <w:rFonts w:ascii="Wingdings 2" w:eastAsia="Wingdings 2" w:hAnsi="Wingdings 2" w:cs="Wingdings 2"/>
      <w:color w:val="000000"/>
      <w:sz w:val="28"/>
      <w:szCs w:val="28"/>
      <w:u w:val="none"/>
    </w:rPr>
  </w:style>
  <w:style w:type="character" w:customStyle="1" w:styleId="font21">
    <w:name w:val="font21"/>
    <w:basedOn w:val="a0"/>
    <w:qFormat/>
    <w:rPr>
      <w:rFonts w:ascii="仿宋" w:eastAsia="仿宋" w:hAnsi="仿宋" w:cs="仿宋" w:hint="eastAsia"/>
      <w:color w:val="000000"/>
      <w:sz w:val="28"/>
      <w:szCs w:val="28"/>
      <w:u w:val="none"/>
    </w:rPr>
  </w:style>
  <w:style w:type="character" w:customStyle="1" w:styleId="font51">
    <w:name w:val="font51"/>
    <w:basedOn w:val="a0"/>
    <w:qFormat/>
    <w:rPr>
      <w:rFonts w:ascii="Wingdings 2" w:eastAsia="Wingdings 2" w:hAnsi="Wingdings 2" w:cs="Wingdings 2"/>
      <w:color w:val="000000"/>
      <w:sz w:val="28"/>
      <w:szCs w:val="28"/>
      <w:u w:val="none"/>
    </w:rPr>
  </w:style>
  <w:style w:type="character" w:customStyle="1" w:styleId="font01">
    <w:name w:val="font01"/>
    <w:basedOn w:val="a0"/>
    <w:qFormat/>
    <w:rPr>
      <w:rFonts w:ascii="Wingdings 2" w:eastAsia="Wingdings 2" w:hAnsi="Wingdings 2" w:cs="Wingdings 2"/>
      <w:color w:val="000000"/>
      <w:sz w:val="28"/>
      <w:szCs w:val="28"/>
      <w:u w:val="none"/>
    </w:rPr>
  </w:style>
  <w:style w:type="character" w:customStyle="1" w:styleId="font11">
    <w:name w:val="font11"/>
    <w:basedOn w:val="a0"/>
    <w:qFormat/>
    <w:rPr>
      <w:rFonts w:ascii="仿宋" w:eastAsia="仿宋" w:hAnsi="仿宋" w:cs="仿宋" w:hint="eastAsia"/>
      <w:color w:val="000000"/>
      <w:sz w:val="28"/>
      <w:szCs w:val="28"/>
      <w:u w:val="none"/>
    </w:rPr>
  </w:style>
  <w:style w:type="paragraph" w:styleId="a6">
    <w:name w:val="Balloon Text"/>
    <w:basedOn w:val="a"/>
    <w:link w:val="Char1"/>
    <w:semiHidden/>
    <w:unhideWhenUsed/>
    <w:rsid w:val="00452D86"/>
    <w:rPr>
      <w:sz w:val="18"/>
      <w:szCs w:val="18"/>
    </w:rPr>
  </w:style>
  <w:style w:type="character" w:customStyle="1" w:styleId="Char1">
    <w:name w:val="批注框文本 Char"/>
    <w:basedOn w:val="a0"/>
    <w:link w:val="a6"/>
    <w:semiHidden/>
    <w:rsid w:val="00452D86"/>
    <w:rPr>
      <w:kern w:val="2"/>
      <w:sz w:val="18"/>
      <w:szCs w:val="18"/>
    </w:rPr>
  </w:style>
  <w:style w:type="character" w:customStyle="1" w:styleId="2Char">
    <w:name w:val="标题 2 Char"/>
    <w:basedOn w:val="a0"/>
    <w:link w:val="2"/>
    <w:uiPriority w:val="9"/>
    <w:rsid w:val="009C5583"/>
    <w:rPr>
      <w:rFonts w:asciiTheme="majorHAnsi" w:eastAsiaTheme="majorEastAsia" w:hAnsiTheme="majorHAnsi" w:cstheme="majorBidi"/>
      <w:b/>
      <w:bCs/>
      <w:kern w:val="2"/>
      <w:sz w:val="32"/>
      <w:szCs w:val="32"/>
    </w:rPr>
  </w:style>
  <w:style w:type="paragraph" w:styleId="a7">
    <w:name w:val="Body Text Indent"/>
    <w:basedOn w:val="a"/>
    <w:link w:val="Char2"/>
    <w:semiHidden/>
    <w:unhideWhenUsed/>
    <w:rsid w:val="009C5583"/>
    <w:pPr>
      <w:spacing w:after="120"/>
      <w:ind w:leftChars="200" w:left="420"/>
    </w:pPr>
  </w:style>
  <w:style w:type="character" w:customStyle="1" w:styleId="Char2">
    <w:name w:val="正文文本缩进 Char"/>
    <w:basedOn w:val="a0"/>
    <w:link w:val="a7"/>
    <w:semiHidden/>
    <w:rsid w:val="009C5583"/>
    <w:rPr>
      <w:kern w:val="2"/>
      <w:sz w:val="21"/>
      <w:szCs w:val="21"/>
    </w:rPr>
  </w:style>
  <w:style w:type="paragraph" w:styleId="20">
    <w:name w:val="Body Text First Indent 2"/>
    <w:basedOn w:val="a7"/>
    <w:next w:val="a"/>
    <w:link w:val="2Char0"/>
    <w:uiPriority w:val="99"/>
    <w:unhideWhenUsed/>
    <w:qFormat/>
    <w:rsid w:val="009C5583"/>
    <w:pPr>
      <w:ind w:firstLineChars="200" w:firstLine="420"/>
    </w:pPr>
    <w:rPr>
      <w:szCs w:val="22"/>
    </w:rPr>
  </w:style>
  <w:style w:type="character" w:customStyle="1" w:styleId="2Char0">
    <w:name w:val="正文首行缩进 2 Char"/>
    <w:basedOn w:val="Char2"/>
    <w:link w:val="20"/>
    <w:uiPriority w:val="99"/>
    <w:rsid w:val="009C558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keepLines/>
      <w:spacing w:line="576" w:lineRule="auto"/>
      <w:jc w:val="center"/>
      <w:outlineLvl w:val="0"/>
    </w:pPr>
    <w:rPr>
      <w:rFonts w:eastAsia="方正小标宋简体"/>
      <w:kern w:val="44"/>
      <w:sz w:val="36"/>
    </w:rPr>
  </w:style>
  <w:style w:type="paragraph" w:styleId="2">
    <w:name w:val="heading 2"/>
    <w:basedOn w:val="a"/>
    <w:next w:val="a"/>
    <w:link w:val="2Char"/>
    <w:uiPriority w:val="9"/>
    <w:unhideWhenUsed/>
    <w:qFormat/>
    <w:rsid w:val="009C55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unhideWhenUsed/>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font61">
    <w:name w:val="font61"/>
    <w:basedOn w:val="a0"/>
    <w:qFormat/>
    <w:rPr>
      <w:rFonts w:ascii="仿宋" w:eastAsia="仿宋" w:hAnsi="仿宋" w:cs="仿宋" w:hint="eastAsia"/>
      <w:color w:val="000000"/>
      <w:sz w:val="28"/>
      <w:szCs w:val="28"/>
      <w:u w:val="none"/>
    </w:rPr>
  </w:style>
  <w:style w:type="character" w:customStyle="1" w:styleId="font41">
    <w:name w:val="font41"/>
    <w:basedOn w:val="a0"/>
    <w:qFormat/>
    <w:rPr>
      <w:rFonts w:ascii="Wingdings 2" w:eastAsia="Wingdings 2" w:hAnsi="Wingdings 2" w:cs="Wingdings 2"/>
      <w:color w:val="000000"/>
      <w:sz w:val="28"/>
      <w:szCs w:val="28"/>
      <w:u w:val="none"/>
    </w:rPr>
  </w:style>
  <w:style w:type="character" w:customStyle="1" w:styleId="font31">
    <w:name w:val="font31"/>
    <w:basedOn w:val="a0"/>
    <w:qFormat/>
    <w:rPr>
      <w:rFonts w:ascii="Wingdings 2" w:eastAsia="Wingdings 2" w:hAnsi="Wingdings 2" w:cs="Wingdings 2"/>
      <w:color w:val="000000"/>
      <w:sz w:val="28"/>
      <w:szCs w:val="28"/>
      <w:u w:val="none"/>
    </w:rPr>
  </w:style>
  <w:style w:type="character" w:customStyle="1" w:styleId="font21">
    <w:name w:val="font21"/>
    <w:basedOn w:val="a0"/>
    <w:qFormat/>
    <w:rPr>
      <w:rFonts w:ascii="仿宋" w:eastAsia="仿宋" w:hAnsi="仿宋" w:cs="仿宋" w:hint="eastAsia"/>
      <w:color w:val="000000"/>
      <w:sz w:val="28"/>
      <w:szCs w:val="28"/>
      <w:u w:val="none"/>
    </w:rPr>
  </w:style>
  <w:style w:type="character" w:customStyle="1" w:styleId="font51">
    <w:name w:val="font51"/>
    <w:basedOn w:val="a0"/>
    <w:qFormat/>
    <w:rPr>
      <w:rFonts w:ascii="Wingdings 2" w:eastAsia="Wingdings 2" w:hAnsi="Wingdings 2" w:cs="Wingdings 2"/>
      <w:color w:val="000000"/>
      <w:sz w:val="28"/>
      <w:szCs w:val="28"/>
      <w:u w:val="none"/>
    </w:rPr>
  </w:style>
  <w:style w:type="character" w:customStyle="1" w:styleId="font01">
    <w:name w:val="font01"/>
    <w:basedOn w:val="a0"/>
    <w:qFormat/>
    <w:rPr>
      <w:rFonts w:ascii="Wingdings 2" w:eastAsia="Wingdings 2" w:hAnsi="Wingdings 2" w:cs="Wingdings 2"/>
      <w:color w:val="000000"/>
      <w:sz w:val="28"/>
      <w:szCs w:val="28"/>
      <w:u w:val="none"/>
    </w:rPr>
  </w:style>
  <w:style w:type="character" w:customStyle="1" w:styleId="font11">
    <w:name w:val="font11"/>
    <w:basedOn w:val="a0"/>
    <w:qFormat/>
    <w:rPr>
      <w:rFonts w:ascii="仿宋" w:eastAsia="仿宋" w:hAnsi="仿宋" w:cs="仿宋" w:hint="eastAsia"/>
      <w:color w:val="000000"/>
      <w:sz w:val="28"/>
      <w:szCs w:val="28"/>
      <w:u w:val="none"/>
    </w:rPr>
  </w:style>
  <w:style w:type="paragraph" w:styleId="a6">
    <w:name w:val="Balloon Text"/>
    <w:basedOn w:val="a"/>
    <w:link w:val="Char1"/>
    <w:semiHidden/>
    <w:unhideWhenUsed/>
    <w:rsid w:val="00452D86"/>
    <w:rPr>
      <w:sz w:val="18"/>
      <w:szCs w:val="18"/>
    </w:rPr>
  </w:style>
  <w:style w:type="character" w:customStyle="1" w:styleId="Char1">
    <w:name w:val="批注框文本 Char"/>
    <w:basedOn w:val="a0"/>
    <w:link w:val="a6"/>
    <w:semiHidden/>
    <w:rsid w:val="00452D86"/>
    <w:rPr>
      <w:kern w:val="2"/>
      <w:sz w:val="18"/>
      <w:szCs w:val="18"/>
    </w:rPr>
  </w:style>
  <w:style w:type="character" w:customStyle="1" w:styleId="2Char">
    <w:name w:val="标题 2 Char"/>
    <w:basedOn w:val="a0"/>
    <w:link w:val="2"/>
    <w:uiPriority w:val="9"/>
    <w:rsid w:val="009C5583"/>
    <w:rPr>
      <w:rFonts w:asciiTheme="majorHAnsi" w:eastAsiaTheme="majorEastAsia" w:hAnsiTheme="majorHAnsi" w:cstheme="majorBidi"/>
      <w:b/>
      <w:bCs/>
      <w:kern w:val="2"/>
      <w:sz w:val="32"/>
      <w:szCs w:val="32"/>
    </w:rPr>
  </w:style>
  <w:style w:type="paragraph" w:styleId="a7">
    <w:name w:val="Body Text Indent"/>
    <w:basedOn w:val="a"/>
    <w:link w:val="Char2"/>
    <w:semiHidden/>
    <w:unhideWhenUsed/>
    <w:rsid w:val="009C5583"/>
    <w:pPr>
      <w:spacing w:after="120"/>
      <w:ind w:leftChars="200" w:left="420"/>
    </w:pPr>
  </w:style>
  <w:style w:type="character" w:customStyle="1" w:styleId="Char2">
    <w:name w:val="正文文本缩进 Char"/>
    <w:basedOn w:val="a0"/>
    <w:link w:val="a7"/>
    <w:semiHidden/>
    <w:rsid w:val="009C5583"/>
    <w:rPr>
      <w:kern w:val="2"/>
      <w:sz w:val="21"/>
      <w:szCs w:val="21"/>
    </w:rPr>
  </w:style>
  <w:style w:type="paragraph" w:styleId="20">
    <w:name w:val="Body Text First Indent 2"/>
    <w:basedOn w:val="a7"/>
    <w:next w:val="a"/>
    <w:link w:val="2Char0"/>
    <w:uiPriority w:val="99"/>
    <w:unhideWhenUsed/>
    <w:qFormat/>
    <w:rsid w:val="009C5583"/>
    <w:pPr>
      <w:ind w:firstLineChars="200" w:firstLine="420"/>
    </w:pPr>
    <w:rPr>
      <w:szCs w:val="22"/>
    </w:rPr>
  </w:style>
  <w:style w:type="character" w:customStyle="1" w:styleId="2Char0">
    <w:name w:val="正文首行缩进 2 Char"/>
    <w:basedOn w:val="Char2"/>
    <w:link w:val="20"/>
    <w:uiPriority w:val="99"/>
    <w:rsid w:val="009C55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果果</dc:creator>
  <cp:lastModifiedBy>xb21cn</cp:lastModifiedBy>
  <cp:revision>5</cp:revision>
  <cp:lastPrinted>2023-07-17T03:31:00Z</cp:lastPrinted>
  <dcterms:created xsi:type="dcterms:W3CDTF">2023-07-17T03:08:00Z</dcterms:created>
  <dcterms:modified xsi:type="dcterms:W3CDTF">2023-07-17T09:09:00Z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6EB2618CEE0A4AB488DD8CABE3F7CBD8</vt:lpwstr>
  </property>
</Properties>
</file>