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96"/>
          <w:szCs w:val="96"/>
          <w:lang w:val="en-US" w:eastAsia="zh-CN"/>
        </w:rPr>
      </w:pPr>
      <w:r>
        <w:rPr>
          <w:rFonts w:hint="eastAsia" w:ascii="宋体" w:hAnsi="宋体" w:eastAsia="宋体" w:cs="宋体"/>
          <w:color w:val="FF0000"/>
          <w:sz w:val="96"/>
          <w:szCs w:val="96"/>
          <w:lang w:val="en-US" w:eastAsia="zh-CN"/>
        </w:rPr>
        <w:t>湖南开放大学</w:t>
      </w:r>
    </w:p>
    <w:p>
      <w:pPr>
        <w:pStyle w:val="7"/>
        <w:spacing w:line="560" w:lineRule="exact"/>
        <w:jc w:val="center"/>
        <w:rPr>
          <w:rFonts w:hint="eastAsia" w:ascii="宋体" w:hAnsi="宋体" w:eastAsia="宋体" w:cs="宋体"/>
          <w:color w:val="FF0000"/>
          <w:sz w:val="96"/>
          <w:szCs w:val="96"/>
          <w:lang w:val="en-US" w:eastAsia="zh-CN"/>
        </w:rPr>
      </w:pPr>
      <w:r>
        <w:rPr>
          <w:rFonts w:hint="eastAsia" w:ascii="Calibri" w:hAnsi="Calibri" w:cs="Calibri"/>
          <w:sz w:val="28"/>
          <w:szCs w:val="28"/>
        </w:rPr>
        <w:t>湘开大评估[2022]7号</w:t>
      </w:r>
    </w:p>
    <w:p>
      <w:pPr>
        <w:spacing w:line="560" w:lineRule="exact"/>
        <w:rPr>
          <w:rFonts w:ascii="Calibri" w:hAnsi="Calibri" w:cs="Calibr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80010</wp:posOffset>
                </wp:positionV>
                <wp:extent cx="5546725" cy="0"/>
                <wp:effectExtent l="0" t="0" r="0" b="0"/>
                <wp:wrapNone/>
                <wp:docPr id="1" name="直接连接符 1"/>
                <wp:cNvGraphicFramePr/>
                <a:graphic xmlns:a="http://schemas.openxmlformats.org/drawingml/2006/main">
                  <a:graphicData uri="http://schemas.microsoft.com/office/word/2010/wordprocessingShape">
                    <wps:wsp>
                      <wps:cNvCnPr/>
                      <wps:spPr>
                        <a:xfrm>
                          <a:off x="1098550" y="2142490"/>
                          <a:ext cx="55467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pt;margin-top:6.3pt;height:0pt;width:436.75pt;z-index:251659264;mso-width-relative:page;mso-height-relative:page;" filled="f" stroked="t" coordsize="21600,21600" o:gfxdata="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02w31gAA&#10;AAgBAAAPAAAAAAAAAAEAIAAAACIAAABkcnMvZG93bnJldi54bWxQSwECFAAUAAAACACHTuJADkRZ&#10;F+cBAACnAwAADgAAAAAAAAABACAAAAAlAQAAZHJzL2Uyb0RvYy54bWxQSwUGAAAAAAYABgBZAQAA&#10;fgUAAAAA&#10;">
                <v:fill on="f" focussize="0,0"/>
                <v:stroke weight="1pt" color="#FF0000 [3204]" joinstyle="round"/>
                <v:imagedata o:title=""/>
                <o:lock v:ext="edit" aspectratio="f"/>
              </v:line>
            </w:pict>
          </mc:Fallback>
        </mc:AlternateContent>
      </w:r>
      <w:r>
        <w:rPr>
          <w:rFonts w:hint="eastAsia" w:ascii="Calibri" w:hAnsi="Calibri" w:cs="Calibri"/>
          <w:sz w:val="28"/>
          <w:szCs w:val="28"/>
        </w:rPr>
        <w:t xml:space="preserve">      </w:t>
      </w:r>
    </w:p>
    <w:p>
      <w:pPr>
        <w:spacing w:line="560" w:lineRule="exact"/>
        <w:ind w:firstLine="1920" w:firstLineChars="600"/>
        <w:rPr>
          <w:rFonts w:ascii="Calibri" w:hAnsi="Calibri" w:cs="Calibri"/>
          <w:sz w:val="28"/>
          <w:szCs w:val="28"/>
        </w:rPr>
      </w:pPr>
      <w:r>
        <w:rPr>
          <w:rFonts w:hint="eastAsia" w:ascii="宋体" w:hAnsi="宋体" w:eastAsia="宋体" w:cs="宋体"/>
          <w:sz w:val="32"/>
          <w:szCs w:val="32"/>
        </w:rPr>
        <w:t>关于办学评估第四轮督查情况的通报</w:t>
      </w:r>
    </w:p>
    <w:p>
      <w:pPr>
        <w:pStyle w:val="7"/>
        <w:spacing w:line="560" w:lineRule="exact"/>
        <w:ind w:firstLine="0" w:firstLineChars="0"/>
        <w:jc w:val="center"/>
        <w:rPr>
          <w:rFonts w:ascii="宋体" w:hAnsi="宋体" w:eastAsia="宋体" w:cs="宋体"/>
          <w:sz w:val="32"/>
          <w:szCs w:val="32"/>
        </w:rPr>
      </w:pP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10月22日至28日，学校对各牵头部门开展了办学评估第四轮督查工作。督查组分别对12个牵头部门的评估支撑材料、目录、综</w:t>
      </w:r>
      <w:bookmarkStart w:id="0" w:name="_GoBack"/>
      <w:bookmarkEnd w:id="0"/>
      <w:r>
        <w:rPr>
          <w:rFonts w:hint="eastAsia" w:ascii="仿宋" w:hAnsi="仿宋" w:eastAsia="仿宋" w:cs="仿宋"/>
          <w:sz w:val="28"/>
          <w:szCs w:val="28"/>
        </w:rPr>
        <w:t xml:space="preserve">述以及第三轮督查所提意见的整改情况进行了全面督查。整体情况如下：一是各牵头部门对评估工作比较重视，大部分部门负责人多次对评估材料和当前要开展的工作进行了专门的研究和部署；二是评估材料的规范性、系统性和有效性明显增强；三是综述材料水平整体有所提高。第三轮督查整改工作效果比较明显的单位（部门）是教务处和发展规划与系统建设处，但各牵头部门的迎评工作和评估材料还存在一些不足（具体问题见附件）。 </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请各部门务必高度重视，根据第四轮现场督查的意见以及附件中提到具体问题，举一反三，认真整改，积极推进。学校将于11月下旬对各牵头部门组织第五轮办学评估督查工作，并将督查结果在全校范围内通报。</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附件：湖南开放大学办学评估第四轮督查问题整改清单                  </w:t>
      </w:r>
    </w:p>
    <w:p>
      <w:pPr>
        <w:pStyle w:val="7"/>
        <w:spacing w:line="560" w:lineRule="exact"/>
        <w:ind w:firstLine="0" w:firstLineChars="0"/>
        <w:rPr>
          <w:rFonts w:ascii="仿宋" w:hAnsi="仿宋" w:eastAsia="仿宋" w:cs="仿宋"/>
          <w:sz w:val="28"/>
          <w:szCs w:val="28"/>
        </w:rPr>
      </w:pPr>
    </w:p>
    <w:p>
      <w:pPr>
        <w:pStyle w:val="7"/>
        <w:spacing w:line="560" w:lineRule="exact"/>
        <w:ind w:firstLine="4480" w:firstLineChars="1600"/>
        <w:rPr>
          <w:rFonts w:ascii="仿宋" w:hAnsi="仿宋" w:eastAsia="仿宋" w:cs="仿宋"/>
          <w:sz w:val="28"/>
          <w:szCs w:val="28"/>
        </w:rPr>
      </w:pPr>
      <w:r>
        <w:rPr>
          <w:rFonts w:hint="eastAsia" w:ascii="仿宋" w:hAnsi="仿宋" w:eastAsia="仿宋" w:cs="仿宋"/>
          <w:sz w:val="28"/>
          <w:szCs w:val="28"/>
        </w:rPr>
        <w:t>湖南开放大学办学评估办公室</w:t>
      </w:r>
    </w:p>
    <w:p>
      <w:pPr>
        <w:pStyle w:val="7"/>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质量监控与评价中心（代章）</w:t>
      </w:r>
    </w:p>
    <w:p>
      <w:pPr>
        <w:pStyle w:val="7"/>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2022年10月31日   </w:t>
      </w:r>
    </w:p>
    <w:p>
      <w:pPr>
        <w:rPr>
          <w:rFonts w:ascii="仿宋" w:hAnsi="仿宋" w:eastAsia="仿宋" w:cs="仿宋"/>
          <w:sz w:val="28"/>
          <w:szCs w:val="28"/>
        </w:rPr>
      </w:pPr>
      <w:r>
        <w:rPr>
          <w:rFonts w:hint="eastAsia" w:ascii="仿宋" w:hAnsi="仿宋" w:eastAsia="仿宋" w:cs="仿宋"/>
          <w:sz w:val="28"/>
          <w:szCs w:val="28"/>
        </w:rPr>
        <w:br w:type="page"/>
      </w:r>
    </w:p>
    <w:p>
      <w:pPr>
        <w:pStyle w:val="7"/>
        <w:spacing w:line="360" w:lineRule="auto"/>
        <w:ind w:firstLine="0" w:firstLineChars="0"/>
        <w:rPr>
          <w:rFonts w:ascii="仿宋" w:hAnsi="仿宋" w:eastAsia="仿宋" w:cs="仿宋"/>
          <w:sz w:val="28"/>
          <w:szCs w:val="28"/>
        </w:rPr>
      </w:pPr>
      <w:r>
        <w:rPr>
          <w:rFonts w:hint="eastAsia" w:ascii="仿宋" w:hAnsi="仿宋" w:eastAsia="仿宋" w:cs="仿宋"/>
          <w:sz w:val="28"/>
          <w:szCs w:val="28"/>
        </w:rPr>
        <w:t>附件：</w:t>
      </w:r>
    </w:p>
    <w:p>
      <w:pPr>
        <w:pStyle w:val="7"/>
        <w:spacing w:line="360" w:lineRule="auto"/>
        <w:ind w:firstLine="0" w:firstLineChars="0"/>
        <w:jc w:val="center"/>
        <w:rPr>
          <w:rFonts w:ascii="宋体" w:hAnsi="宋体" w:eastAsia="宋体" w:cs="宋体"/>
          <w:sz w:val="32"/>
          <w:szCs w:val="32"/>
        </w:rPr>
      </w:pPr>
      <w:r>
        <w:rPr>
          <w:rFonts w:hint="eastAsia" w:ascii="宋体" w:hAnsi="宋体" w:eastAsia="宋体" w:cs="宋体"/>
          <w:sz w:val="32"/>
          <w:szCs w:val="32"/>
        </w:rPr>
        <w:t>湖南开放大学办学评估第四轮督查问题整改清单</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 xml:space="preserve">一、教务处 </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1.材料的真实性与规范性有待加强。部分材料文体格式与表达欠正确；</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2.支撑材料的有效性不强。部分支撑材料提供了2015-2017年的文档，对观测点的佐证性不强；</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3.材料闭环性不强。如部分材料只有通知过程性材料，无总结与通报，对指标的解读有待加强，对关键词有待进一步理解；</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综述材料水平参差不齐</w:t>
      </w:r>
      <w:r>
        <w:rPr>
          <w:rFonts w:hint="eastAsia" w:ascii="仿宋" w:hAnsi="仿宋" w:eastAsia="仿宋" w:cs="仿宋"/>
          <w:sz w:val="28"/>
          <w:szCs w:val="28"/>
        </w:rPr>
        <w:t>。</w:t>
      </w:r>
      <w:r>
        <w:rPr>
          <w:rFonts w:ascii="仿宋" w:hAnsi="仿宋" w:eastAsia="仿宋" w:cs="仿宋"/>
          <w:sz w:val="28"/>
          <w:szCs w:val="28"/>
        </w:rPr>
        <w:t>有的材料事实陈述较多，提炼较少，总结</w:t>
      </w:r>
      <w:r>
        <w:rPr>
          <w:rFonts w:hint="eastAsia" w:ascii="仿宋" w:hAnsi="仿宋" w:eastAsia="仿宋" w:cs="仿宋"/>
          <w:sz w:val="28"/>
          <w:szCs w:val="28"/>
        </w:rPr>
        <w:t>性</w:t>
      </w:r>
      <w:r>
        <w:rPr>
          <w:rFonts w:ascii="仿宋" w:hAnsi="仿宋" w:eastAsia="仿宋" w:cs="仿宋"/>
          <w:sz w:val="28"/>
          <w:szCs w:val="28"/>
        </w:rPr>
        <w:t>内容较空</w:t>
      </w:r>
      <w:r>
        <w:rPr>
          <w:rFonts w:hint="eastAsia" w:ascii="仿宋" w:hAnsi="仿宋" w:eastAsia="仿宋" w:cs="仿宋"/>
          <w:sz w:val="28"/>
          <w:szCs w:val="28"/>
        </w:rPr>
        <w:t>；</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5.以评促建助推常规工作力度有待进一步加大。</w:t>
      </w:r>
      <w:r>
        <w:rPr>
          <w:rFonts w:ascii="仿宋" w:hAnsi="仿宋" w:eastAsia="仿宋" w:cs="仿宋"/>
          <w:sz w:val="28"/>
          <w:szCs w:val="28"/>
        </w:rPr>
        <w:t>课程责任教师信息收集尚不完整，核心指标相关工作的推进力度有待进一步加强，网络教学团队工作有待</w:t>
      </w:r>
      <w:r>
        <w:rPr>
          <w:rFonts w:hint="eastAsia" w:ascii="仿宋" w:hAnsi="仿宋" w:eastAsia="仿宋" w:cs="仿宋"/>
          <w:sz w:val="28"/>
          <w:szCs w:val="28"/>
        </w:rPr>
        <w:t>推进</w:t>
      </w:r>
      <w:r>
        <w:rPr>
          <w:rFonts w:ascii="仿宋" w:hAnsi="仿宋" w:eastAsia="仿宋" w:cs="仿宋"/>
          <w:sz w:val="28"/>
          <w:szCs w:val="28"/>
        </w:rPr>
        <w:t>与完善。</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二、宣传部、统战部</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1.湖南开放大学文化建设方案虽有初稿，但未组织研讨审定，有待加快实施；</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2.办学评估特色展厅的设计工作尚未启动落实，迎评宣传片脚本与拍摄工作启动有待加快；</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3.校园文化标识标语的布置与宣传工作不够深入；</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4.综述材料特色与亮点不鲜明。支撑材料归类欠清晰，部分材料不能有效支撑观测点。</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三、学生工作处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1.综述材料缺失，本轮督查尚未看到综述材料；</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2.材料真实性不够。如社团年审制度的支撑材料不是正式文件；</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3.支撑材料直观性不够。如学生活动开展的档案材料比较凌乱；</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4.材料完整性不够。全省开大体系学生活动欠丰富，部分学生活动缺少总结与效果材料；</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5.材料规范性不够。部分支撑材料的整理还处于粗加工状态；</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6.学生思政教育与立德树人典型案例不多，特色不明显。</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四、发展规划与系统建设处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1.综述材料提炼与总结不够，缺乏对系统办学的工作进行有效归纳和提升；</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2.材料针对性不够材料。如2019年的分校年度报告不宜作为支撑材料；</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支撑材料有待进一步补充</w:t>
      </w:r>
      <w:r>
        <w:rPr>
          <w:rFonts w:hint="eastAsia" w:ascii="仿宋" w:hAnsi="仿宋" w:eastAsia="仿宋" w:cs="仿宋"/>
          <w:sz w:val="28"/>
          <w:szCs w:val="28"/>
        </w:rPr>
        <w:t>。</w:t>
      </w:r>
      <w:r>
        <w:rPr>
          <w:rFonts w:ascii="仿宋" w:hAnsi="仿宋" w:eastAsia="仿宋" w:cs="仿宋"/>
          <w:sz w:val="28"/>
          <w:szCs w:val="28"/>
        </w:rPr>
        <w:t>如系统办学的共同协作协议有待补充，分校、县级工作站的合作办学情况有待</w:t>
      </w:r>
      <w:r>
        <w:rPr>
          <w:rFonts w:hint="eastAsia" w:ascii="仿宋" w:hAnsi="仿宋" w:eastAsia="仿宋" w:cs="仿宋"/>
          <w:sz w:val="28"/>
          <w:szCs w:val="28"/>
        </w:rPr>
        <w:t>完善；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评估材料完整性不够</w:t>
      </w:r>
      <w:r>
        <w:rPr>
          <w:rFonts w:hint="eastAsia" w:ascii="仿宋" w:hAnsi="仿宋" w:eastAsia="仿宋" w:cs="仿宋"/>
          <w:sz w:val="28"/>
          <w:szCs w:val="28"/>
        </w:rPr>
        <w:t>。</w:t>
      </w:r>
      <w:r>
        <w:rPr>
          <w:rFonts w:ascii="仿宋" w:hAnsi="仿宋" w:eastAsia="仿宋" w:cs="仿宋"/>
          <w:sz w:val="28"/>
          <w:szCs w:val="28"/>
        </w:rPr>
        <w:t>县级电大招生、教务管理、考试管理等工作的负责</w:t>
      </w:r>
      <w:r>
        <w:rPr>
          <w:rFonts w:hint="eastAsia" w:ascii="仿宋" w:hAnsi="仿宋" w:eastAsia="仿宋" w:cs="仿宋"/>
          <w:sz w:val="28"/>
          <w:szCs w:val="28"/>
        </w:rPr>
        <w:t>人</w:t>
      </w:r>
      <w:r>
        <w:rPr>
          <w:rFonts w:ascii="仿宋" w:hAnsi="仿宋" w:eastAsia="仿宋" w:cs="仿宋"/>
          <w:sz w:val="28"/>
          <w:szCs w:val="28"/>
        </w:rPr>
        <w:t>信息有待完善。</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五、招生与就业工作处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1.综述材料总结提炼亟待提高，对如何规范招生、入学资格审查等工作的提炼和总结不够；</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2.支撑材料直观性不够。如2022年招生材料应有总结性的报表信息；</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3.支撑材料的针对性不够。如学生投诉处理工作流程，只有对外公布的投诉电话，缺乏学生投诉处理的管理办法与处理流程。</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六、质量监控与评价中心</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1.综述材料提炼与总结不够；</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2.支撑材料系统性不强。如质量年报报送和发布机制缺少过程性材料、指导分校质量管理岗位设置的过程性材料欠缺等；</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3.特色亮点挖掘不够。没有提炼形成湖南分部质量管理运行模式。</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七、现代教育技术中心</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1.材料闭环性不够。每一个信息化服务平台有待整理完善一套闭环材料；</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2.材料的分类与分层不够清晰；</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3.综述概括欠高度，特色提炼不够。</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八、图书馆</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1.综述材料总结与提炼有待进一步加强。如表述主体因为学校而不是部门，不足之处不宜在综述中体现；</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2.支撑材料直观性不够。材料分类整理欠到位，有效性、系统性、针对性不强。如配套服务与保障机制材料较单薄；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3.支撑材料完整性有待加强。如图书推广、培训、指导、答疑过程性材料欠完整；</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九、党政办公室</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1.综述材料提炼与总结不够；</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2.支撑材料佐证性不强。如获得当地政府支持的材料，内容仅限于资金支持，内容可更广，可涉及机构、人事、项目等；</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3.材料直观性不强。如与办学合作单位的协议可列表呈现，并将系统与合作办学单位的法人信息收集整理。</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十、人事处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1.综述材料提炼与总结不够。没有站在学校高度进行总结，内容多为日常工作罗列；</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2.评估材料欠完整。如各类培训的支撑材料只涉及到少数学院或个人；</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3.典型案例特色挖掘不够。立德树人材料单薄；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4.支撑材料闭环性不够。如教师培训项目有通知安排，但无总结。</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十一、资产管理处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1.综述提炼与总结不够；</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2.材料收集欠完整，应有近三年使用记录原始材料；</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3.材料规范性不够。如落款等，未整体梳理，数据欠精准。</w:t>
      </w:r>
    </w:p>
    <w:p>
      <w:pPr>
        <w:pStyle w:val="7"/>
        <w:spacing w:line="360" w:lineRule="auto"/>
        <w:ind w:firstLine="0" w:firstLineChars="0"/>
        <w:rPr>
          <w:rFonts w:ascii="黑体" w:hAnsi="黑体" w:eastAsia="黑体" w:cs="黑体"/>
          <w:sz w:val="28"/>
          <w:szCs w:val="28"/>
        </w:rPr>
      </w:pPr>
      <w:r>
        <w:rPr>
          <w:rFonts w:hint="eastAsia" w:ascii="黑体" w:hAnsi="黑体" w:eastAsia="黑体" w:cs="黑体"/>
          <w:sz w:val="28"/>
          <w:szCs w:val="28"/>
        </w:rPr>
        <w:t>十二、财务处</w:t>
      </w:r>
    </w:p>
    <w:p>
      <w:pPr>
        <w:pStyle w:val="7"/>
        <w:spacing w:line="360" w:lineRule="auto"/>
        <w:ind w:firstLine="560"/>
        <w:rPr>
          <w:rFonts w:ascii="仿宋" w:hAnsi="仿宋" w:eastAsia="仿宋" w:cs="仿宋"/>
          <w:sz w:val="28"/>
          <w:szCs w:val="28"/>
        </w:rPr>
      </w:pPr>
      <w:r>
        <w:rPr>
          <w:rFonts w:hint="eastAsia" w:ascii="仿宋" w:hAnsi="仿宋" w:eastAsia="仿宋" w:cs="仿宋"/>
          <w:sz w:val="28"/>
          <w:szCs w:val="28"/>
        </w:rPr>
        <w:t>综述材料总结提炼有待进一步加强。对学校规范收费行为缺乏系统性总结与提炼。</w:t>
      </w:r>
    </w:p>
    <w:p>
      <w:pPr>
        <w:pStyle w:val="7"/>
        <w:spacing w:line="360" w:lineRule="auto"/>
        <w:ind w:firstLine="56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TI4MTFlYmEzOTIwOGZlM2Y3ZWM0MjM0MmUyOTcifQ=="/>
  </w:docVars>
  <w:rsids>
    <w:rsidRoot w:val="00172A27"/>
    <w:rsid w:val="000360D8"/>
    <w:rsid w:val="00060DB1"/>
    <w:rsid w:val="00071D44"/>
    <w:rsid w:val="000A13EF"/>
    <w:rsid w:val="000C050D"/>
    <w:rsid w:val="00111958"/>
    <w:rsid w:val="00172A27"/>
    <w:rsid w:val="00192614"/>
    <w:rsid w:val="00196BED"/>
    <w:rsid w:val="001E5471"/>
    <w:rsid w:val="002A71F8"/>
    <w:rsid w:val="002C6877"/>
    <w:rsid w:val="002C7C4B"/>
    <w:rsid w:val="00307148"/>
    <w:rsid w:val="00332EE9"/>
    <w:rsid w:val="00334EAA"/>
    <w:rsid w:val="003B6AD5"/>
    <w:rsid w:val="00444133"/>
    <w:rsid w:val="0046219C"/>
    <w:rsid w:val="004809EE"/>
    <w:rsid w:val="004C6312"/>
    <w:rsid w:val="005210E1"/>
    <w:rsid w:val="005303C3"/>
    <w:rsid w:val="0057096A"/>
    <w:rsid w:val="00581723"/>
    <w:rsid w:val="0059426C"/>
    <w:rsid w:val="00653A50"/>
    <w:rsid w:val="006555A2"/>
    <w:rsid w:val="00655849"/>
    <w:rsid w:val="006B1C83"/>
    <w:rsid w:val="006E15A6"/>
    <w:rsid w:val="006E5605"/>
    <w:rsid w:val="00786B2E"/>
    <w:rsid w:val="00791606"/>
    <w:rsid w:val="007F2A39"/>
    <w:rsid w:val="00851A4D"/>
    <w:rsid w:val="008560A2"/>
    <w:rsid w:val="00861088"/>
    <w:rsid w:val="008808B8"/>
    <w:rsid w:val="008B434C"/>
    <w:rsid w:val="0099089E"/>
    <w:rsid w:val="009D5D61"/>
    <w:rsid w:val="009D7E5C"/>
    <w:rsid w:val="00A6218C"/>
    <w:rsid w:val="00AD7571"/>
    <w:rsid w:val="00AE0EA5"/>
    <w:rsid w:val="00B17C6B"/>
    <w:rsid w:val="00B621DD"/>
    <w:rsid w:val="00B73C27"/>
    <w:rsid w:val="00C3751E"/>
    <w:rsid w:val="00C54B4F"/>
    <w:rsid w:val="00C8013C"/>
    <w:rsid w:val="00C93D0F"/>
    <w:rsid w:val="00CE72DE"/>
    <w:rsid w:val="00CE7345"/>
    <w:rsid w:val="00D87014"/>
    <w:rsid w:val="00D91242"/>
    <w:rsid w:val="00DA1B6E"/>
    <w:rsid w:val="00DB3F6D"/>
    <w:rsid w:val="00DC5604"/>
    <w:rsid w:val="00E04D58"/>
    <w:rsid w:val="00E06B34"/>
    <w:rsid w:val="00E20C2D"/>
    <w:rsid w:val="00E417C8"/>
    <w:rsid w:val="00E72299"/>
    <w:rsid w:val="00EB36EE"/>
    <w:rsid w:val="00F4164C"/>
    <w:rsid w:val="00F80F75"/>
    <w:rsid w:val="00F82D68"/>
    <w:rsid w:val="00F83C37"/>
    <w:rsid w:val="00F87E26"/>
    <w:rsid w:val="0136732D"/>
    <w:rsid w:val="02A91D81"/>
    <w:rsid w:val="06367DD0"/>
    <w:rsid w:val="068A098C"/>
    <w:rsid w:val="0692233C"/>
    <w:rsid w:val="07195F0C"/>
    <w:rsid w:val="08282559"/>
    <w:rsid w:val="08DE4BF3"/>
    <w:rsid w:val="09304375"/>
    <w:rsid w:val="0A1B312A"/>
    <w:rsid w:val="0B22128A"/>
    <w:rsid w:val="0BC32412"/>
    <w:rsid w:val="0BD51E39"/>
    <w:rsid w:val="0F452E31"/>
    <w:rsid w:val="0F8030D6"/>
    <w:rsid w:val="10077802"/>
    <w:rsid w:val="102D5D9F"/>
    <w:rsid w:val="11B5429E"/>
    <w:rsid w:val="11D45D84"/>
    <w:rsid w:val="134C478E"/>
    <w:rsid w:val="14787805"/>
    <w:rsid w:val="1525173B"/>
    <w:rsid w:val="17394945"/>
    <w:rsid w:val="17470386"/>
    <w:rsid w:val="18EE47D2"/>
    <w:rsid w:val="19EC6CCB"/>
    <w:rsid w:val="1AAB26E2"/>
    <w:rsid w:val="1BC03F6C"/>
    <w:rsid w:val="1BFE68AA"/>
    <w:rsid w:val="1C940F54"/>
    <w:rsid w:val="1D1D014A"/>
    <w:rsid w:val="1DC971EB"/>
    <w:rsid w:val="1E3B1FCF"/>
    <w:rsid w:val="1E5B2140"/>
    <w:rsid w:val="20A05EB1"/>
    <w:rsid w:val="22600256"/>
    <w:rsid w:val="23625B80"/>
    <w:rsid w:val="23874BE6"/>
    <w:rsid w:val="270D636C"/>
    <w:rsid w:val="293D6BFB"/>
    <w:rsid w:val="2A3856FA"/>
    <w:rsid w:val="2A5C32A6"/>
    <w:rsid w:val="2AD1053D"/>
    <w:rsid w:val="2B367649"/>
    <w:rsid w:val="2B3B5CBB"/>
    <w:rsid w:val="2C574A2D"/>
    <w:rsid w:val="2D74208E"/>
    <w:rsid w:val="3041531A"/>
    <w:rsid w:val="311A3CC6"/>
    <w:rsid w:val="313B34D6"/>
    <w:rsid w:val="342D1890"/>
    <w:rsid w:val="342E692E"/>
    <w:rsid w:val="345D7439"/>
    <w:rsid w:val="37F54931"/>
    <w:rsid w:val="39896207"/>
    <w:rsid w:val="3B143534"/>
    <w:rsid w:val="3B3479AB"/>
    <w:rsid w:val="3B516504"/>
    <w:rsid w:val="3C256EC4"/>
    <w:rsid w:val="3D19452B"/>
    <w:rsid w:val="3E2D661A"/>
    <w:rsid w:val="3F6C39CD"/>
    <w:rsid w:val="3FF12080"/>
    <w:rsid w:val="40DF6392"/>
    <w:rsid w:val="41BC412F"/>
    <w:rsid w:val="42227AF1"/>
    <w:rsid w:val="42EB101F"/>
    <w:rsid w:val="430F2F5F"/>
    <w:rsid w:val="431D49AD"/>
    <w:rsid w:val="44E26FA9"/>
    <w:rsid w:val="45AB5683"/>
    <w:rsid w:val="45C0125A"/>
    <w:rsid w:val="45E85CE9"/>
    <w:rsid w:val="46730D78"/>
    <w:rsid w:val="46F6783D"/>
    <w:rsid w:val="472471F5"/>
    <w:rsid w:val="47C9275A"/>
    <w:rsid w:val="49570E3C"/>
    <w:rsid w:val="497C0C22"/>
    <w:rsid w:val="4A4E6A26"/>
    <w:rsid w:val="4A800BE6"/>
    <w:rsid w:val="4AAB02F0"/>
    <w:rsid w:val="4BDA42BB"/>
    <w:rsid w:val="4DA150FB"/>
    <w:rsid w:val="4E1937A7"/>
    <w:rsid w:val="4F0D3F94"/>
    <w:rsid w:val="50104521"/>
    <w:rsid w:val="50A82C45"/>
    <w:rsid w:val="50E032D3"/>
    <w:rsid w:val="51976F41"/>
    <w:rsid w:val="527F1783"/>
    <w:rsid w:val="52C5188C"/>
    <w:rsid w:val="52E346D4"/>
    <w:rsid w:val="535267B0"/>
    <w:rsid w:val="53A45945"/>
    <w:rsid w:val="5463135D"/>
    <w:rsid w:val="55362A26"/>
    <w:rsid w:val="56A812A9"/>
    <w:rsid w:val="59C02DAD"/>
    <w:rsid w:val="5AA224B3"/>
    <w:rsid w:val="5B070568"/>
    <w:rsid w:val="5C861B90"/>
    <w:rsid w:val="5D504448"/>
    <w:rsid w:val="604A3660"/>
    <w:rsid w:val="61A31846"/>
    <w:rsid w:val="620660A1"/>
    <w:rsid w:val="6320666B"/>
    <w:rsid w:val="63224191"/>
    <w:rsid w:val="63F756DC"/>
    <w:rsid w:val="652B50DD"/>
    <w:rsid w:val="6827205E"/>
    <w:rsid w:val="6AB63D32"/>
    <w:rsid w:val="6B36416B"/>
    <w:rsid w:val="6B7D065E"/>
    <w:rsid w:val="6BC2684F"/>
    <w:rsid w:val="6BF85EF9"/>
    <w:rsid w:val="6C007039"/>
    <w:rsid w:val="6CCF1AF5"/>
    <w:rsid w:val="6CFC3CA5"/>
    <w:rsid w:val="6EDC3E65"/>
    <w:rsid w:val="70AE0A86"/>
    <w:rsid w:val="70FB30C9"/>
    <w:rsid w:val="730523FF"/>
    <w:rsid w:val="76D37824"/>
    <w:rsid w:val="7855291D"/>
    <w:rsid w:val="7BB474DC"/>
    <w:rsid w:val="7D4A45B8"/>
    <w:rsid w:val="7FA8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qFormat/>
    <w:uiPriority w:val="34"/>
    <w:pPr>
      <w:ind w:firstLine="420" w:firstLineChars="200"/>
    </w:p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character" w:customStyle="1" w:styleId="10">
    <w:name w:val="font41"/>
    <w:basedOn w:val="6"/>
    <w:qFormat/>
    <w:uiPriority w:val="0"/>
    <w:rPr>
      <w:rFonts w:hint="eastAsia" w:ascii="仿宋" w:hAnsi="仿宋" w:eastAsia="仿宋" w:cs="仿宋"/>
      <w:color w:val="FF0000"/>
      <w:sz w:val="22"/>
      <w:szCs w:val="22"/>
      <w:u w:val="none"/>
    </w:rPr>
  </w:style>
  <w:style w:type="character" w:customStyle="1" w:styleId="11">
    <w:name w:val="font2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018E5-63CF-4D5D-B2A5-541F3257E09C}">
  <ds:schemaRefs/>
</ds:datastoreItem>
</file>

<file path=docProps/app.xml><?xml version="1.0" encoding="utf-8"?>
<Properties xmlns="http://schemas.openxmlformats.org/officeDocument/2006/extended-properties" xmlns:vt="http://schemas.openxmlformats.org/officeDocument/2006/docPropsVTypes">
  <Template>Normal</Template>
  <Pages>5</Pages>
  <Words>1969</Words>
  <Characters>2040</Characters>
  <Lines>15</Lines>
  <Paragraphs>4</Paragraphs>
  <TotalTime>1</TotalTime>
  <ScaleCrop>false</ScaleCrop>
  <LinksUpToDate>false</LinksUpToDate>
  <CharactersWithSpaces>2151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2022-07-04T11:58:00Z</dcterms:created>
  <dc:creator>曹守富</dc:creator>
  <cp:lastModifiedBy>皮得你没脾气</cp:lastModifiedBy>
  <cp:lastPrinted>2022-11-01T03:16:00Z</cp:lastPrinted>
  <dcterms:modified xsi:type="dcterms:W3CDTF">2023-06-10T07:19:13Z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2160895AF90F429EBBB0E7D1F627D85D</vt:lpwstr>
  </property>
</Properties>
</file>