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CA7C6C" w:rsidRDefault="00F2230D">
      <w:pPr>
        <w:spacing w:line="560" w:lineRule="exact"/>
        <w:jc w:val="left"/>
        <w:rPr>
          <w:rFonts w:ascii="仿宋" w:eastAsia="仿宋" w:hAnsi="仿宋"/>
          <w:spacing w:val="-6"/>
          <w:kern w:val="0"/>
          <w:sz w:val="28"/>
          <w:szCs w:val="28"/>
        </w:rPr>
      </w:pPr>
      <w:bookmarkStart w:id="0" w:name="_GoBack"/>
      <w:bookmarkEnd w:id="0"/>
      <w:r>
        <w:rPr>
          <w:rFonts w:ascii="仿宋" w:eastAsia="仿宋" w:hAnsi="仿宋" w:hint="eastAsia"/>
          <w:spacing w:val="-6"/>
          <w:kern w:val="0"/>
          <w:sz w:val="28"/>
          <w:szCs w:val="28"/>
        </w:rPr>
        <w:t>附件2</w:t>
      </w:r>
    </w:p>
    <w:p w:rsidR="00CA7C6C" w:rsidRPr="00193FDF" w:rsidRDefault="00F2230D">
      <w:pPr>
        <w:spacing w:line="560" w:lineRule="exact"/>
        <w:jc w:val="center"/>
        <w:rPr>
          <w:rFonts w:ascii="宋体" w:eastAsia="宋体" w:hAnsi="宋体"/>
          <w:spacing w:val="-6"/>
          <w:kern w:val="0"/>
          <w:sz w:val="36"/>
          <w:szCs w:val="36"/>
        </w:rPr>
      </w:pPr>
      <w:r w:rsidRPr="00193FDF">
        <w:rPr>
          <w:rFonts w:ascii="宋体" w:eastAsia="宋体" w:hAnsi="宋体" w:hint="eastAsia"/>
          <w:spacing w:val="-6"/>
          <w:kern w:val="0"/>
          <w:sz w:val="36"/>
          <w:szCs w:val="36"/>
        </w:rPr>
        <w:t>湖南</w:t>
      </w:r>
      <w:r w:rsidRPr="00193FDF">
        <w:rPr>
          <w:rFonts w:ascii="宋体" w:eastAsia="宋体" w:hAnsi="宋体"/>
          <w:spacing w:val="-6"/>
          <w:kern w:val="0"/>
          <w:sz w:val="36"/>
          <w:szCs w:val="36"/>
        </w:rPr>
        <w:t>开放大学</w:t>
      </w:r>
      <w:r w:rsidRPr="00193FDF">
        <w:rPr>
          <w:rFonts w:ascii="宋体" w:eastAsia="宋体" w:hAnsi="宋体" w:hint="eastAsia"/>
          <w:spacing w:val="-6"/>
          <w:kern w:val="0"/>
          <w:sz w:val="36"/>
          <w:szCs w:val="36"/>
        </w:rPr>
        <w:t>办学评估指标分解表</w:t>
      </w:r>
    </w:p>
    <w:p w:rsidR="00CA7C6C" w:rsidRDefault="00CA7C6C">
      <w:pPr>
        <w:rPr>
          <w:rFonts w:ascii="仿宋" w:eastAsia="仿宋" w:hAnsi="仿宋"/>
        </w:rPr>
      </w:pPr>
    </w:p>
    <w:tbl>
      <w:tblPr>
        <w:tblW w:w="4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53"/>
        <w:gridCol w:w="1874"/>
        <w:gridCol w:w="1583"/>
        <w:gridCol w:w="1295"/>
        <w:gridCol w:w="4322"/>
        <w:gridCol w:w="2018"/>
      </w:tblGrid>
      <w:tr w:rsidR="00CA7C6C">
        <w:trPr>
          <w:trHeight w:val="695"/>
          <w:tblHeader/>
          <w:jc w:val="center"/>
        </w:trPr>
        <w:tc>
          <w:tcPr>
            <w:tcW w:w="328" w:type="pct"/>
            <w:shd w:val="clear" w:color="auto" w:fill="auto"/>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一级</w:t>
            </w:r>
          </w:p>
          <w:p w:rsidR="00CA7C6C" w:rsidRDefault="00F2230D">
            <w:pPr>
              <w:jc w:val="center"/>
              <w:rPr>
                <w:rFonts w:ascii="仿宋" w:eastAsia="仿宋" w:hAnsi="仿宋"/>
                <w:b/>
                <w:sz w:val="24"/>
                <w:szCs w:val="24"/>
              </w:rPr>
            </w:pPr>
            <w:r>
              <w:rPr>
                <w:rFonts w:ascii="仿宋" w:eastAsia="仿宋" w:hAnsi="仿宋" w:cs="黑体" w:hint="eastAsia"/>
                <w:b/>
                <w:sz w:val="24"/>
                <w:szCs w:val="24"/>
              </w:rPr>
              <w:t>指标</w:t>
            </w:r>
          </w:p>
        </w:tc>
        <w:tc>
          <w:tcPr>
            <w:tcW w:w="440" w:type="pct"/>
            <w:shd w:val="clear" w:color="auto" w:fill="auto"/>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二级</w:t>
            </w:r>
          </w:p>
          <w:p w:rsidR="00CA7C6C" w:rsidRDefault="00F2230D">
            <w:pPr>
              <w:jc w:val="center"/>
              <w:rPr>
                <w:rFonts w:ascii="仿宋" w:eastAsia="仿宋" w:hAnsi="仿宋" w:cs="黑体"/>
                <w:b/>
                <w:sz w:val="24"/>
                <w:szCs w:val="24"/>
              </w:rPr>
            </w:pPr>
            <w:r>
              <w:rPr>
                <w:rFonts w:ascii="仿宋" w:eastAsia="仿宋" w:hAnsi="仿宋" w:cs="黑体" w:hint="eastAsia"/>
                <w:b/>
                <w:sz w:val="24"/>
                <w:szCs w:val="24"/>
              </w:rPr>
              <w:t>指标</w:t>
            </w:r>
          </w:p>
        </w:tc>
        <w:tc>
          <w:tcPr>
            <w:tcW w:w="1813" w:type="pct"/>
            <w:gridSpan w:val="3"/>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三级指标</w:t>
            </w:r>
          </w:p>
        </w:tc>
        <w:tc>
          <w:tcPr>
            <w:tcW w:w="2419" w:type="pct"/>
            <w:gridSpan w:val="2"/>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观测点</w:t>
            </w:r>
          </w:p>
        </w:tc>
      </w:tr>
      <w:tr w:rsidR="00CA7C6C">
        <w:trPr>
          <w:trHeight w:val="548"/>
          <w:tblHeader/>
          <w:jc w:val="center"/>
        </w:trPr>
        <w:tc>
          <w:tcPr>
            <w:tcW w:w="328" w:type="pct"/>
            <w:shd w:val="clear" w:color="auto" w:fill="auto"/>
            <w:vAlign w:val="center"/>
          </w:tcPr>
          <w:p w:rsidR="00CA7C6C" w:rsidRDefault="00CA7C6C">
            <w:pPr>
              <w:jc w:val="center"/>
              <w:rPr>
                <w:rFonts w:ascii="仿宋" w:eastAsia="仿宋" w:hAnsi="仿宋" w:cs="黑体"/>
                <w:sz w:val="24"/>
                <w:szCs w:val="24"/>
              </w:rPr>
            </w:pPr>
          </w:p>
        </w:tc>
        <w:tc>
          <w:tcPr>
            <w:tcW w:w="440" w:type="pct"/>
            <w:shd w:val="clear" w:color="auto" w:fill="auto"/>
            <w:vAlign w:val="center"/>
          </w:tcPr>
          <w:p w:rsidR="00CA7C6C" w:rsidRDefault="00CA7C6C">
            <w:pPr>
              <w:jc w:val="center"/>
              <w:rPr>
                <w:rFonts w:ascii="仿宋" w:eastAsia="仿宋" w:hAnsi="仿宋" w:cs="黑体"/>
                <w:sz w:val="24"/>
                <w:szCs w:val="24"/>
              </w:rPr>
            </w:pPr>
          </w:p>
        </w:tc>
        <w:tc>
          <w:tcPr>
            <w:tcW w:w="715" w:type="pct"/>
            <w:shd w:val="clear" w:color="auto" w:fill="auto"/>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指标内容分解</w:t>
            </w:r>
          </w:p>
        </w:tc>
        <w:tc>
          <w:tcPr>
            <w:tcW w:w="604" w:type="pct"/>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责任校领导</w:t>
            </w:r>
          </w:p>
        </w:tc>
        <w:tc>
          <w:tcPr>
            <w:tcW w:w="494" w:type="pct"/>
            <w:shd w:val="clear" w:color="auto" w:fill="auto"/>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牵头部门</w:t>
            </w:r>
          </w:p>
        </w:tc>
        <w:tc>
          <w:tcPr>
            <w:tcW w:w="1649" w:type="pct"/>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观测点内容分解</w:t>
            </w:r>
          </w:p>
        </w:tc>
        <w:tc>
          <w:tcPr>
            <w:tcW w:w="770" w:type="pct"/>
            <w:vAlign w:val="center"/>
          </w:tcPr>
          <w:p w:rsidR="00CA7C6C" w:rsidRDefault="00F2230D">
            <w:pPr>
              <w:jc w:val="center"/>
              <w:rPr>
                <w:rFonts w:ascii="仿宋" w:eastAsia="仿宋" w:hAnsi="仿宋" w:cs="黑体"/>
                <w:b/>
                <w:sz w:val="24"/>
                <w:szCs w:val="24"/>
              </w:rPr>
            </w:pPr>
            <w:r>
              <w:rPr>
                <w:rFonts w:ascii="仿宋" w:eastAsia="仿宋" w:hAnsi="仿宋" w:cs="黑体" w:hint="eastAsia"/>
                <w:b/>
                <w:sz w:val="24"/>
                <w:szCs w:val="24"/>
              </w:rPr>
              <w:t>责任部门</w:t>
            </w:r>
          </w:p>
        </w:tc>
      </w:tr>
      <w:tr w:rsidR="00CA7C6C">
        <w:trPr>
          <w:trHeight w:val="697"/>
          <w:jc w:val="center"/>
        </w:trPr>
        <w:tc>
          <w:tcPr>
            <w:tcW w:w="328" w:type="pct"/>
            <w:vMerge w:val="restart"/>
            <w:tcBorders>
              <w:bottom w:val="single" w:sz="4" w:space="0" w:color="auto"/>
            </w:tcBorders>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1.办学定位（40分）</w:t>
            </w:r>
          </w:p>
        </w:tc>
        <w:tc>
          <w:tcPr>
            <w:tcW w:w="440" w:type="pct"/>
            <w:vMerge w:val="restart"/>
            <w:tcBorders>
              <w:bottom w:val="single" w:sz="4" w:space="0" w:color="auto"/>
            </w:tcBorders>
            <w:shd w:val="clear" w:color="auto" w:fill="auto"/>
            <w:vAlign w:val="center"/>
          </w:tcPr>
          <w:p w:rsidR="00CA7C6C" w:rsidRDefault="00F2230D">
            <w:pPr>
              <w:jc w:val="center"/>
              <w:rPr>
                <w:rFonts w:ascii="仿宋" w:eastAsia="仿宋" w:hAnsi="仿宋" w:cs="黑体"/>
                <w:sz w:val="24"/>
                <w:szCs w:val="24"/>
              </w:rPr>
            </w:pPr>
            <w:r>
              <w:rPr>
                <w:rFonts w:ascii="仿宋" w:eastAsia="仿宋" w:hAnsi="仿宋" w:hint="eastAsia"/>
                <w:sz w:val="24"/>
                <w:szCs w:val="24"/>
              </w:rPr>
              <w:t>1.1 全面加强党的领导（15分）</w:t>
            </w:r>
          </w:p>
        </w:tc>
        <w:tc>
          <w:tcPr>
            <w:tcW w:w="715" w:type="pct"/>
            <w:vMerge w:val="restart"/>
            <w:tcBorders>
              <w:bottom w:val="single" w:sz="4" w:space="0" w:color="auto"/>
            </w:tcBorders>
            <w:shd w:val="clear" w:color="auto" w:fill="auto"/>
            <w:vAlign w:val="center"/>
          </w:tcPr>
          <w:p w:rsidR="00CA7C6C" w:rsidRDefault="00F2230D">
            <w:pPr>
              <w:jc w:val="center"/>
              <w:rPr>
                <w:rFonts w:ascii="仿宋" w:eastAsia="仿宋" w:hAnsi="仿宋" w:cs="黑体"/>
                <w:sz w:val="24"/>
                <w:szCs w:val="24"/>
              </w:rPr>
            </w:pPr>
            <w:r>
              <w:rPr>
                <w:rFonts w:ascii="仿宋" w:eastAsia="仿宋" w:hAnsi="仿宋" w:hint="eastAsia"/>
                <w:sz w:val="24"/>
                <w:szCs w:val="24"/>
              </w:rPr>
              <w:t>1.1.1 全面加强党的领导，坚持社会主义办学方向，落实立德树人根本任务，培养德智体美劳全面发展的社会主义建设者和接班人（15分）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谢国保</w:t>
            </w:r>
          </w:p>
          <w:p w:rsidR="00CA7C6C" w:rsidRDefault="00F2230D">
            <w:pPr>
              <w:jc w:val="center"/>
              <w:rPr>
                <w:rFonts w:ascii="仿宋" w:eastAsia="仿宋" w:hAnsi="仿宋"/>
                <w:sz w:val="24"/>
                <w:szCs w:val="24"/>
              </w:rPr>
            </w:pPr>
            <w:r>
              <w:rPr>
                <w:rFonts w:ascii="仿宋" w:eastAsia="仿宋" w:hAnsi="仿宋" w:hint="eastAsia"/>
                <w:sz w:val="24"/>
                <w:szCs w:val="24"/>
              </w:rPr>
              <w:t>杨斌</w:t>
            </w:r>
          </w:p>
        </w:tc>
        <w:tc>
          <w:tcPr>
            <w:tcW w:w="494" w:type="pct"/>
            <w:vMerge w:val="restart"/>
            <w:tcBorders>
              <w:bottom w:val="single" w:sz="4" w:space="0" w:color="auto"/>
            </w:tcBorders>
            <w:vAlign w:val="center"/>
          </w:tcPr>
          <w:p w:rsidR="00CA7C6C" w:rsidRDefault="00F2230D">
            <w:pPr>
              <w:jc w:val="center"/>
              <w:rPr>
                <w:rFonts w:ascii="仿宋" w:eastAsia="仿宋" w:hAnsi="仿宋" w:cs="黑体"/>
                <w:sz w:val="24"/>
                <w:szCs w:val="24"/>
              </w:rPr>
            </w:pPr>
            <w:r>
              <w:rPr>
                <w:rFonts w:ascii="仿宋" w:eastAsia="仿宋" w:hAnsi="仿宋" w:hint="eastAsia"/>
                <w:sz w:val="24"/>
                <w:szCs w:val="24"/>
              </w:rPr>
              <w:t>党政办公室</w:t>
            </w:r>
          </w:p>
        </w:tc>
        <w:tc>
          <w:tcPr>
            <w:tcW w:w="1649" w:type="pct"/>
            <w:tcBorders>
              <w:bottom w:val="single" w:sz="4" w:space="0" w:color="auto"/>
            </w:tcBorders>
            <w:vAlign w:val="center"/>
          </w:tcPr>
          <w:p w:rsidR="00CA7C6C" w:rsidRDefault="00F2230D">
            <w:pPr>
              <w:jc w:val="center"/>
              <w:rPr>
                <w:rFonts w:ascii="仿宋" w:eastAsia="仿宋" w:hAnsi="仿宋" w:cs="黑体"/>
                <w:sz w:val="24"/>
                <w:szCs w:val="24"/>
              </w:rPr>
            </w:pPr>
            <w:r>
              <w:rPr>
                <w:rFonts w:ascii="仿宋" w:eastAsia="仿宋" w:hAnsi="仿宋" w:hint="eastAsia"/>
                <w:sz w:val="24"/>
                <w:szCs w:val="24"/>
              </w:rPr>
              <w:t>（1）学校发展定位及发展规划体现社会主义办学方向（4分）</w:t>
            </w:r>
          </w:p>
        </w:tc>
        <w:tc>
          <w:tcPr>
            <w:tcW w:w="770" w:type="pct"/>
            <w:tcBorders>
              <w:bottom w:val="single" w:sz="4" w:space="0" w:color="auto"/>
            </w:tcBorders>
            <w:vAlign w:val="center"/>
          </w:tcPr>
          <w:p w:rsidR="00CA7C6C" w:rsidRDefault="00F2230D">
            <w:pPr>
              <w:jc w:val="center"/>
              <w:rPr>
                <w:rFonts w:ascii="仿宋" w:eastAsia="仿宋" w:hAnsi="仿宋" w:cs="黑体"/>
                <w:sz w:val="24"/>
                <w:szCs w:val="24"/>
              </w:rPr>
            </w:pPr>
            <w:r>
              <w:rPr>
                <w:rFonts w:ascii="仿宋" w:eastAsia="仿宋" w:hAnsi="仿宋" w:hint="eastAsia"/>
                <w:sz w:val="24"/>
                <w:szCs w:val="24"/>
              </w:rPr>
              <w:t>党政办公室、各分校</w:t>
            </w:r>
          </w:p>
        </w:tc>
      </w:tr>
      <w:tr w:rsidR="00CA7C6C">
        <w:trPr>
          <w:trHeight w:val="925"/>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（2）党委领导下的校长负责制及其落实情况（4分）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w:t>
            </w:r>
          </w:p>
        </w:tc>
      </w:tr>
      <w:tr w:rsidR="00CA7C6C">
        <w:trPr>
          <w:trHeight w:val="809"/>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（3）立德树人培育体系和落实机制（4分）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党政办公室、教务处、各二级学院、各分校</w:t>
            </w:r>
          </w:p>
        </w:tc>
      </w:tr>
      <w:tr w:rsidR="00CA7C6C">
        <w:trPr>
          <w:trHeight w:val="1248"/>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（4）培养方案在毕业要求和课程体系（包括第二课堂）中体现德智体美劳培养目标的情况（3分）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w:t>
            </w:r>
          </w:p>
        </w:tc>
      </w:tr>
      <w:tr w:rsidR="00CA7C6C">
        <w:trPr>
          <w:trHeight w:val="863"/>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Cs w:val="21"/>
              </w:rPr>
            </w:pPr>
            <w:r>
              <w:rPr>
                <w:rFonts w:ascii="仿宋" w:eastAsia="仿宋" w:hAnsi="仿宋" w:hint="eastAsia"/>
                <w:szCs w:val="21"/>
              </w:rPr>
              <w:t>1.2 强化思想政治教育（15</w:t>
            </w:r>
            <w:r>
              <w:rPr>
                <w:rFonts w:ascii="仿宋" w:eastAsia="仿宋" w:hAnsi="仿宋" w:hint="eastAsia"/>
                <w:szCs w:val="21"/>
              </w:rPr>
              <w:lastRenderedPageBreak/>
              <w:t>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1.2.1 强化思想政治和新时代爱国主义教</w:t>
            </w:r>
            <w:r>
              <w:rPr>
                <w:rFonts w:ascii="仿宋" w:eastAsia="仿宋" w:hAnsi="仿宋" w:hint="eastAsia"/>
                <w:sz w:val="24"/>
                <w:szCs w:val="24"/>
              </w:rPr>
              <w:lastRenderedPageBreak/>
              <w:t>育，落实意识形态工作责任制，建立健全思想政治工作体系，形成“三全育人”工作格局（15分）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周宇</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（5）思想政治和新时代爱国主义教育工作及其落实情况（重点看过程材料和实施效果）（6分）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教务处、马克思主义学院、各分校</w:t>
            </w:r>
          </w:p>
        </w:tc>
      </w:tr>
      <w:tr w:rsidR="00CA7C6C">
        <w:trPr>
          <w:trHeight w:val="1248"/>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（6）意识形态工作责任制及其落实情况（5分）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党委宣传统战部、各分校</w:t>
            </w:r>
          </w:p>
        </w:tc>
      </w:tr>
      <w:tr w:rsidR="00CA7C6C">
        <w:trPr>
          <w:trHeight w:val="298"/>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（7）“三全育人”工作体系文件资料、过程材料、工作效果（4分）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校属各单位（部门）、各分校</w:t>
            </w:r>
          </w:p>
        </w:tc>
      </w:tr>
      <w:tr w:rsidR="00CA7C6C">
        <w:trPr>
          <w:trHeight w:val="1572"/>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1.3 重视大学文化建设（10分）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1.3.1 按照“统一品牌”要求，宣传学校文化，践行国家开放大学的质量观，运用国家开放大学的标识、校训、校歌营造校园氛围，落实好国开开展的各项文化活动；有省校校园文化建设（10分）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周宇</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（8）环境文化是否充分使用开放大学标识、校训，校园文化氛围（3分）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党委宣传统战部、学生工作处、后勤基建处、各分校</w:t>
            </w:r>
          </w:p>
        </w:tc>
      </w:tr>
      <w:tr w:rsidR="00CA7C6C">
        <w:trPr>
          <w:trHeight w:val="977"/>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（9）学校干部、教师、学生对开放大学的基本文化了解程度（2分）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党委宣传统战部、人事处、学生工作处、各分校</w:t>
            </w:r>
          </w:p>
        </w:tc>
      </w:tr>
      <w:tr w:rsidR="00CA7C6C">
        <w:trPr>
          <w:trHeight w:val="1872"/>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（10）国开统一组织的各类文化活动落实情况（2分）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党委宣传统战部、学生工作处、各分校</w:t>
            </w:r>
          </w:p>
        </w:tc>
      </w:tr>
      <w:tr w:rsidR="00CA7C6C">
        <w:trPr>
          <w:trHeight w:val="1650"/>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（11）全省开大系统校园文化建设（3分）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党委宣传统战部、学生工作处、各分校</w:t>
            </w:r>
          </w:p>
        </w:tc>
      </w:tr>
      <w:tr w:rsidR="00CA7C6C">
        <w:trPr>
          <w:trHeight w:val="1405"/>
          <w:jc w:val="center"/>
        </w:trPr>
        <w:tc>
          <w:tcPr>
            <w:tcW w:w="328"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2.体系办学（120分）</w:t>
            </w: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2.1 国开教学相关工作落实情况（20分）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2.1.1 及时传达、部署、完成国开教学相关文件要求（10分）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（12）有对国开文件的转发、部署、落实等工作机制和记录（5分）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教务处、系统建设与招生工作处、质量监控与评价中心、各二级学院、各分校</w:t>
            </w:r>
          </w:p>
        </w:tc>
      </w:tr>
      <w:tr w:rsidR="00CA7C6C">
        <w:trPr>
          <w:trHeight w:val="1115"/>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（13）落实国开教学相关文件的及时准确程度（5分）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教务处、系统建设与招生工作处、质量监控与评价中心、各二级学院、各分校</w:t>
            </w:r>
          </w:p>
        </w:tc>
      </w:tr>
      <w:tr w:rsidR="00CA7C6C">
        <w:trPr>
          <w:trHeight w:val="2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2.1.2 全面参与国开开展的相关教学工作</w:t>
            </w:r>
          </w:p>
          <w:p w:rsidR="00CA7C6C" w:rsidRDefault="00F2230D">
            <w:pPr>
              <w:jc w:val="center"/>
              <w:rPr>
                <w:rFonts w:ascii="仿宋" w:eastAsia="仿宋" w:hAnsi="仿宋"/>
                <w:sz w:val="24"/>
                <w:szCs w:val="24"/>
              </w:rPr>
            </w:pPr>
            <w:r>
              <w:rPr>
                <w:rFonts w:ascii="仿宋" w:eastAsia="仿宋" w:hAnsi="仿宋" w:hint="eastAsia"/>
                <w:sz w:val="24"/>
                <w:szCs w:val="24"/>
              </w:rPr>
              <w:t>（10分）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（14）参与国开开展的相关教学工作的情况（10分）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86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2.2 统筹全省开大的</w:t>
            </w:r>
            <w:r>
              <w:rPr>
                <w:rFonts w:ascii="仿宋" w:eastAsia="仿宋" w:hAnsi="仿宋" w:hint="eastAsia"/>
                <w:sz w:val="24"/>
                <w:szCs w:val="24"/>
              </w:rPr>
              <w:lastRenderedPageBreak/>
              <w:t>系统办学及体系建设（70分）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2.2.1 全省开大系统各办学单位的办学职</w:t>
            </w:r>
            <w:r>
              <w:rPr>
                <w:rFonts w:ascii="仿宋" w:eastAsia="仿宋" w:hAnsi="仿宋" w:hint="eastAsia"/>
                <w:sz w:val="24"/>
                <w:szCs w:val="24"/>
              </w:rPr>
              <w:lastRenderedPageBreak/>
              <w:t>责明晰，各级合作办学协议合法有效（10分）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（15）全省开大系统及各办学单位对办学定位及职责的明确程度，体系责任分工的明晰程度（6分）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党政办公室、系统建设与招生工作处、各分校</w:t>
            </w:r>
          </w:p>
        </w:tc>
      </w:tr>
      <w:tr w:rsidR="00CA7C6C">
        <w:trPr>
          <w:trHeight w:val="124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（16）各级合作办学协议完备、合法，条款清晰，职责明确（4分）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党政办公室、系统建设与招生工作处、各分校</w:t>
            </w:r>
          </w:p>
        </w:tc>
      </w:tr>
      <w:tr w:rsidR="00CA7C6C">
        <w:trPr>
          <w:trHeight w:val="997"/>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2.2.2 全省开大系统办学单位布局、人员配备及职责分工与办学的规模、结构、质量要求相适应（25分）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（17）全省开大系统办学单位布局、工作职责分配的科学合理程度及落实情况（14分）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教务处、系统建设与招生工作处、各分校</w:t>
            </w:r>
          </w:p>
        </w:tc>
      </w:tr>
      <w:tr w:rsidR="00CA7C6C">
        <w:trPr>
          <w:trHeight w:val="88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（18）全省开大系统与办学质量要求相适应的人员配备情况和责任落实情况（7分）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人事处、质量监控与评价中心、各分校</w:t>
            </w:r>
          </w:p>
        </w:tc>
      </w:tr>
      <w:tr w:rsidR="00CA7C6C">
        <w:trPr>
          <w:trHeight w:val="63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（19）办学的规模、结构、质量相适应的情况（4分）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人事处、系统建设与招生工作处、各分校</w:t>
            </w:r>
          </w:p>
        </w:tc>
      </w:tr>
      <w:tr w:rsidR="00CA7C6C">
        <w:trPr>
          <w:trHeight w:val="109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2.2.3 省校对分校进行有效业务指导，对教学相关工作有任务要求、有数据考核、有奖惩措施（20分）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（20）省校对分校的业务开展进行有效指导的情况（10分）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系统建设与招生工作处、各二级学院、学生工作处</w:t>
            </w:r>
          </w:p>
        </w:tc>
      </w:tr>
      <w:tr w:rsidR="00CA7C6C">
        <w:trPr>
          <w:trHeight w:val="437"/>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（21）省校对分校的教学相关工作明确任务要求、考核指标和奖惩措施的情况（10分）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教务处、质量监控与评价中心、系统建设与招生工作处</w:t>
            </w:r>
          </w:p>
        </w:tc>
      </w:tr>
      <w:tr w:rsidR="00CA7C6C">
        <w:trPr>
          <w:trHeight w:val="171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2.2.4 在国开允许的区域范围内规范办学(15分)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（22）全省开大系统各办学单位办学与国开允许的区域范围相符的情况（7分）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系统建设与招生工作处、教务处、各分校</w:t>
            </w:r>
          </w:p>
        </w:tc>
      </w:tr>
      <w:tr w:rsidR="00CA7C6C">
        <w:trPr>
          <w:trHeight w:val="171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（23）全省开大系统各办学单位的办学行为规范程度（8分）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系统建设与招生工作处、教务处、质量监控与评价中心、各分校</w:t>
            </w:r>
          </w:p>
        </w:tc>
      </w:tr>
      <w:tr w:rsidR="00CA7C6C">
        <w:trPr>
          <w:trHeight w:val="2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2.3 及时缴费、规范收费（30分）</w:t>
            </w: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2.3.1 按照协议及时足额缴纳各项费用，无拖欠学费</w:t>
            </w:r>
          </w:p>
          <w:p w:rsidR="00CA7C6C" w:rsidRDefault="00F2230D">
            <w:pPr>
              <w:jc w:val="center"/>
              <w:rPr>
                <w:rFonts w:ascii="仿宋" w:eastAsia="仿宋" w:hAnsi="仿宋"/>
                <w:sz w:val="24"/>
                <w:szCs w:val="24"/>
              </w:rPr>
            </w:pPr>
            <w:r>
              <w:rPr>
                <w:rFonts w:ascii="仿宋" w:eastAsia="仿宋" w:hAnsi="仿宋" w:hint="eastAsia"/>
                <w:sz w:val="24"/>
                <w:szCs w:val="24"/>
              </w:rPr>
              <w:t>（20分）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周辉斌</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（24）无欠费，按照协议及时足额缴纳各项费用（20分）；有欠费，有清偿计划，近三年向上级缴纳、还款情况较好（10-19分）；有欠费，无清偿计划或近三年缴费、还款不到位（0-9分）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财务处、教务处、系统建设与招生工作处、各分校</w:t>
            </w:r>
          </w:p>
        </w:tc>
      </w:tr>
      <w:tr w:rsidR="00CA7C6C">
        <w:trPr>
          <w:trHeight w:val="2905"/>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2.3.2 严格执行国家有关部门的收费规定和标准，无违规收费（10分）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周辉斌</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（25）严格执行国家及地方有关部门的收费规定和标准（10分）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财务处、教务处、系统建设与招生工作处、各分校</w:t>
            </w:r>
          </w:p>
        </w:tc>
      </w:tr>
      <w:tr w:rsidR="00CA7C6C">
        <w:trPr>
          <w:trHeight w:val="849"/>
          <w:jc w:val="center"/>
        </w:trPr>
        <w:tc>
          <w:tcPr>
            <w:tcW w:w="328"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3.条件保障（290分）</w:t>
            </w: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3.1岗位、人员与运行（25分）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3.1.1 省校对接国开开放教育办学业务的部门、岗位、人员责权明晰、分工合理，教学教务管理职能相对独立、完整，落实到位（15分）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汤筱飞</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（26）省校对接国开开放教育办学业务的部门、岗位、人员责权明晰、分工合理的情况（10分）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r>
      <w:tr w:rsidR="00CA7C6C">
        <w:trPr>
          <w:trHeight w:val="1404"/>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（27）教学教务管理职能相对独立、完整，落实到位的情况（5分）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r>
      <w:tr w:rsidR="00CA7C6C">
        <w:trPr>
          <w:trHeight w:val="86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3.1.2 分校的教学教务部门业务相对独立，</w:t>
            </w:r>
            <w:r>
              <w:rPr>
                <w:rFonts w:ascii="仿宋" w:eastAsia="仿宋" w:hAnsi="仿宋" w:hint="eastAsia"/>
                <w:sz w:val="24"/>
                <w:szCs w:val="24"/>
              </w:rPr>
              <w:lastRenderedPageBreak/>
              <w:t>其他工作有专职专岗人员负责；县级电大的招生、教务管理、学生管理、考试等工作有明确人员分工负责（10分）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（28）分校的教学教务部门业务相对独立，其他工作有专职专岗人员负责（5分）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系统建设与招生工作处、各分校</w:t>
            </w:r>
          </w:p>
        </w:tc>
      </w:tr>
      <w:tr w:rsidR="00CA7C6C">
        <w:trPr>
          <w:trHeight w:val="1895"/>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（29）分校的招生、教务管理、学生管理、考试等工作有明确人员分工负责（5分）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学生工作处、教务处、系统建设与招生工作处、各分校</w:t>
            </w:r>
          </w:p>
        </w:tc>
      </w:tr>
      <w:tr w:rsidR="00CA7C6C">
        <w:trPr>
          <w:trHeight w:val="54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3.2 师资等人员配备（50分）</w:t>
            </w: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3.2.1生师比合理（30分）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汤筱飞</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（30）以在编在岗教师计算，生师比&lt;=50:1（30分）；</w:t>
            </w:r>
          </w:p>
          <w:p w:rsidR="00CA7C6C" w:rsidRDefault="00F2230D">
            <w:pPr>
              <w:jc w:val="center"/>
              <w:rPr>
                <w:rFonts w:ascii="仿宋" w:eastAsia="仿宋" w:hAnsi="仿宋"/>
                <w:sz w:val="24"/>
                <w:szCs w:val="24"/>
              </w:rPr>
            </w:pPr>
            <w:r>
              <w:rPr>
                <w:rFonts w:ascii="仿宋" w:eastAsia="仿宋" w:hAnsi="仿宋" w:hint="eastAsia"/>
                <w:sz w:val="24"/>
                <w:szCs w:val="24"/>
              </w:rPr>
              <w:t>以在编在岗教师计算，50:1&lt;生师比&lt;=100:1（24-29分）；</w:t>
            </w:r>
          </w:p>
          <w:p w:rsidR="00CA7C6C" w:rsidRDefault="00F2230D">
            <w:pPr>
              <w:jc w:val="center"/>
              <w:rPr>
                <w:rFonts w:ascii="仿宋" w:eastAsia="仿宋" w:hAnsi="仿宋"/>
                <w:sz w:val="24"/>
                <w:szCs w:val="24"/>
              </w:rPr>
            </w:pPr>
            <w:r>
              <w:rPr>
                <w:rFonts w:ascii="仿宋" w:eastAsia="仿宋" w:hAnsi="仿宋" w:hint="eastAsia"/>
                <w:sz w:val="24"/>
                <w:szCs w:val="24"/>
              </w:rPr>
              <w:t>以专兼职教师计算，生师比&lt;=50:1（19-23分）；</w:t>
            </w:r>
          </w:p>
          <w:p w:rsidR="00CA7C6C" w:rsidRDefault="00F2230D">
            <w:pPr>
              <w:jc w:val="center"/>
              <w:rPr>
                <w:rFonts w:ascii="仿宋" w:eastAsia="仿宋" w:hAnsi="仿宋"/>
                <w:sz w:val="24"/>
                <w:szCs w:val="24"/>
              </w:rPr>
            </w:pPr>
            <w:r>
              <w:rPr>
                <w:rFonts w:ascii="仿宋" w:eastAsia="仿宋" w:hAnsi="仿宋" w:hint="eastAsia"/>
                <w:sz w:val="24"/>
                <w:szCs w:val="24"/>
              </w:rPr>
              <w:t>以专兼职教师计算，50:1&lt;生师比&lt;=100:1（11-18分）;</w:t>
            </w:r>
          </w:p>
          <w:p w:rsidR="00CA7C6C" w:rsidRDefault="00F2230D">
            <w:pPr>
              <w:jc w:val="center"/>
              <w:rPr>
                <w:rFonts w:ascii="仿宋" w:eastAsia="仿宋" w:hAnsi="仿宋"/>
                <w:sz w:val="24"/>
                <w:szCs w:val="24"/>
              </w:rPr>
            </w:pPr>
            <w:r>
              <w:rPr>
                <w:rFonts w:ascii="仿宋" w:eastAsia="仿宋" w:hAnsi="仿宋" w:hint="eastAsia"/>
                <w:sz w:val="24"/>
                <w:szCs w:val="24"/>
              </w:rPr>
              <w:t>以专兼职教师计算，生师比&gt;100:1(0-10分)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人事处、各分校</w:t>
            </w:r>
          </w:p>
        </w:tc>
      </w:tr>
      <w:tr w:rsidR="00CA7C6C">
        <w:trPr>
          <w:trHeight w:val="2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3.2.2 专兼职教师队伍的学历、职称、年龄结构合理（20</w:t>
            </w:r>
            <w:r>
              <w:rPr>
                <w:rFonts w:ascii="仿宋" w:eastAsia="仿宋" w:hAnsi="仿宋" w:hint="eastAsia"/>
                <w:sz w:val="24"/>
                <w:szCs w:val="24"/>
              </w:rPr>
              <w:lastRenderedPageBreak/>
              <w:t>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汤筱飞</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（31）研究生以上学历50%以上、高级职称30%以上、中青年教师60%以上（20分）;</w:t>
            </w:r>
          </w:p>
          <w:p w:rsidR="00CA7C6C" w:rsidRDefault="00F2230D">
            <w:pPr>
              <w:jc w:val="center"/>
              <w:rPr>
                <w:rFonts w:ascii="仿宋" w:eastAsia="仿宋" w:hAnsi="仿宋"/>
                <w:sz w:val="24"/>
                <w:szCs w:val="24"/>
              </w:rPr>
            </w:pPr>
            <w:r>
              <w:rPr>
                <w:rFonts w:ascii="仿宋" w:eastAsia="仿宋" w:hAnsi="仿宋" w:hint="eastAsia"/>
                <w:sz w:val="24"/>
                <w:szCs w:val="24"/>
              </w:rPr>
              <w:t>单项达不到上述标准的酌情减分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人事处、系统建设与招生工作处、各分校</w:t>
            </w:r>
          </w:p>
        </w:tc>
      </w:tr>
      <w:tr w:rsidR="00CA7C6C">
        <w:trPr>
          <w:trHeight w:val="81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3.3 开放教育教学经费投入（45分）</w:t>
            </w: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3.3.1 教学投入占学费收入的比例高（25分）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周辉斌</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（32）评估近三年情况及趋势，按“总决算-投入企业-还款-基建≈教学投入”计算。70%及以上（21-25分）；55%-69%（11-20分）；40%-54%（1-10分）；不足40%（0分）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财务处、各分校</w:t>
            </w:r>
          </w:p>
        </w:tc>
      </w:tr>
      <w:tr w:rsidR="00CA7C6C">
        <w:trPr>
          <w:trHeight w:val="81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3.3.2 专业建设、资源建设、信息化软硬件建设、师资培训和实践教学投入占同期教学投入的比例高（20分）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周辉斌</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（33）评估近三年情况及趋势，计算口径同上。60%及以上（16-20分）；40%-59%（6-15分）；20%-39%（1-5分）；不足20%（0分）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财务处、教务处、人事处、教学资源研发与配置中心、教育信息技术中心、各分校</w:t>
            </w:r>
          </w:p>
        </w:tc>
      </w:tr>
      <w:tr w:rsidR="00CA7C6C">
        <w:trPr>
          <w:trHeight w:val="347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3.4 办学设施及信息化办学条件（50分）</w:t>
            </w:r>
          </w:p>
        </w:tc>
        <w:tc>
          <w:tcPr>
            <w:tcW w:w="715" w:type="pct"/>
            <w:shd w:val="clear" w:color="auto" w:fill="auto"/>
            <w:vAlign w:val="center"/>
          </w:tcPr>
          <w:p w:rsidR="00CA7C6C" w:rsidRDefault="00F2230D">
            <w:pPr>
              <w:jc w:val="center"/>
              <w:rPr>
                <w:rFonts w:ascii="仿宋" w:eastAsia="仿宋" w:hAnsi="仿宋"/>
                <w:szCs w:val="21"/>
              </w:rPr>
            </w:pPr>
            <w:r>
              <w:rPr>
                <w:rFonts w:ascii="仿宋" w:eastAsia="仿宋" w:hAnsi="仿宋" w:hint="eastAsia"/>
                <w:szCs w:val="21"/>
              </w:rPr>
              <w:t>3.4.1 配备与办学规模相适应、基本满足开放大学办学的教室（包括实时联网可远程双向交互的教室、可用于日常教学与考试的教室与计算机教室等）、保密室、档案室、办公场所、录播室等（20分）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汤筱飞</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资产管理处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34）配备与办学规模相适应、基本满足开放大学办学的教室（包括实时联网可远程双向交互的教室、可用于日常教学与考试的教室与计算机教室等）、保密室、档案室、办公场所、录播室等的情况，自有办学场所不应低于60%（20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资产管理处、党政办公室、教育信息技术中心、教务处、各分校</w:t>
            </w:r>
          </w:p>
        </w:tc>
      </w:tr>
      <w:tr w:rsidR="00CA7C6C">
        <w:trPr>
          <w:trHeight w:val="93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3.4.2 办学环境中的信息化设备充足、适用，使用率高（15分）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教育信息技术中心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（35）服务器数量、网络出口带宽、存储容量、校园网络、计算机等满足办学要求的情况（8分）</w:t>
            </w:r>
          </w:p>
        </w:tc>
        <w:tc>
          <w:tcPr>
            <w:tcW w:w="770" w:type="pct"/>
            <w:vAlign w:val="center"/>
          </w:tcPr>
          <w:p w:rsidR="00CA7C6C" w:rsidRDefault="00F2230D">
            <w:pPr>
              <w:jc w:val="center"/>
              <w:rPr>
                <w:rFonts w:ascii="仿宋" w:eastAsia="仿宋" w:hAnsi="仿宋"/>
                <w:sz w:val="24"/>
                <w:szCs w:val="24"/>
                <w:highlight w:val="yellow"/>
              </w:rPr>
            </w:pPr>
            <w:r>
              <w:rPr>
                <w:rFonts w:ascii="仿宋" w:eastAsia="仿宋" w:hAnsi="仿宋" w:hint="eastAsia"/>
                <w:sz w:val="24"/>
                <w:szCs w:val="24"/>
              </w:rPr>
              <w:t>教育信息技术中心、各分校</w:t>
            </w:r>
          </w:p>
        </w:tc>
      </w:tr>
      <w:tr w:rsidR="00CA7C6C">
        <w:trPr>
          <w:trHeight w:val="45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（36）使用率（7分）</w:t>
            </w:r>
          </w:p>
        </w:tc>
        <w:tc>
          <w:tcPr>
            <w:tcW w:w="770" w:type="pct"/>
            <w:vAlign w:val="center"/>
          </w:tcPr>
          <w:p w:rsidR="00CA7C6C" w:rsidRDefault="00F2230D">
            <w:pPr>
              <w:jc w:val="center"/>
              <w:rPr>
                <w:rFonts w:ascii="仿宋" w:eastAsia="仿宋" w:hAnsi="仿宋"/>
                <w:sz w:val="24"/>
                <w:szCs w:val="24"/>
                <w:highlight w:val="yellow"/>
              </w:rPr>
            </w:pPr>
            <w:r>
              <w:rPr>
                <w:rFonts w:ascii="仿宋" w:eastAsia="仿宋" w:hAnsi="仿宋" w:hint="eastAsia"/>
                <w:sz w:val="24"/>
                <w:szCs w:val="24"/>
              </w:rPr>
              <w:t>教育信息技术中心、各分校</w:t>
            </w:r>
          </w:p>
        </w:tc>
      </w:tr>
      <w:tr w:rsidR="00CA7C6C">
        <w:trPr>
          <w:trHeight w:val="437"/>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3.4.3 教学信息化平台和工具满足招生专业教学需要（15分）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教育信息技术中心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（37）包括国开课程平台、实训平台、适应云直播等教学工作的教学软件和教学管理软件等满足招生专业教学需要的情况（15分）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教务处、各二级学院、教育信息技术中心、各分校</w:t>
            </w:r>
          </w:p>
        </w:tc>
      </w:tr>
      <w:tr w:rsidR="00CA7C6C">
        <w:trPr>
          <w:trHeight w:val="291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3.5 制度建设（15分）</w:t>
            </w: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3.5.1 招生、教学、学习资源建设、形成性考核、终结性考试、学籍、质量管理、学习支持服务、教学团队等方面制度文件齐全有效（8分）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（38）招生、教学、学习资源建设、形成性考核、终结性考试、学籍、质量管理、学习支持服务、教学团队等方面制度文件齐全有效的情况（8分）；有缺失的酌情减分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校属各单位（部门）、各分校</w:t>
            </w:r>
          </w:p>
        </w:tc>
      </w:tr>
      <w:tr w:rsidR="00CA7C6C">
        <w:trPr>
          <w:trHeight w:val="103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3.5.2 制度文件的更新、补充、完善及时（7分）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（39）制度文件的更新、补充、完善情况（7分）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校属各单位（部门）、各分校</w:t>
            </w:r>
          </w:p>
        </w:tc>
      </w:tr>
      <w:tr w:rsidR="00CA7C6C">
        <w:trPr>
          <w:trHeight w:val="86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3.6 学科专业建设（20分）</w:t>
            </w:r>
          </w:p>
        </w:tc>
        <w:tc>
          <w:tcPr>
            <w:tcW w:w="715" w:type="pct"/>
            <w:vMerge w:val="restart"/>
            <w:shd w:val="clear" w:color="auto" w:fill="auto"/>
            <w:vAlign w:val="center"/>
          </w:tcPr>
          <w:p w:rsidR="00CA7C6C" w:rsidRDefault="00F2230D">
            <w:pPr>
              <w:snapToGrid w:val="0"/>
              <w:jc w:val="center"/>
              <w:rPr>
                <w:rFonts w:ascii="仿宋" w:eastAsia="仿宋" w:hAnsi="仿宋"/>
                <w:sz w:val="24"/>
                <w:szCs w:val="24"/>
              </w:rPr>
            </w:pPr>
            <w:r>
              <w:rPr>
                <w:rFonts w:ascii="仿宋" w:eastAsia="仿宋" w:hAnsi="仿宋" w:hint="eastAsia"/>
                <w:sz w:val="24"/>
                <w:szCs w:val="24"/>
              </w:rPr>
              <w:t>3.6.1 有专业建设能力，有学科研究、教学研究成果（10分）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（40）建设（共享）专业和课程质量情况（6分）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w:t>
            </w:r>
          </w:p>
        </w:tc>
      </w:tr>
      <w:tr w:rsidR="00CA7C6C">
        <w:trPr>
          <w:trHeight w:val="109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snapToGrid w:val="0"/>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（41）学科研究、教学研究成果情况（4分）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科研处、各二级学院、各分校</w:t>
            </w:r>
          </w:p>
        </w:tc>
      </w:tr>
      <w:tr w:rsidR="00CA7C6C">
        <w:trPr>
          <w:trHeight w:val="93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3.6.2 落实指导性人才培养方案，配套实施性教学计划，且体现地方特色（10分）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（42）落实指导性人才培养方案，配套实施性教学计划情况（7分）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w:t>
            </w:r>
          </w:p>
        </w:tc>
      </w:tr>
      <w:tr w:rsidR="00CA7C6C">
        <w:trPr>
          <w:trHeight w:val="1059"/>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（43）实施性教学计划体现地方特色的情况（3分）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w:t>
            </w:r>
          </w:p>
        </w:tc>
      </w:tr>
      <w:tr w:rsidR="00CA7C6C">
        <w:trPr>
          <w:trHeight w:val="2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3.7 学习资源配置（65分）</w:t>
            </w: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3.7.1 统设课程文字主教材配置率高（30分）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欧俊</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湖南启圣文化传播有限公司</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（44）70%及以上（26-30分）；50%-69%（11-25分）；40%-49%（1-10分）；不足40%（0分）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湖南启圣文化传播有限公司、各分校</w:t>
            </w:r>
          </w:p>
        </w:tc>
      </w:tr>
      <w:tr w:rsidR="00CA7C6C">
        <w:trPr>
          <w:trHeight w:val="109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3.7.2 负责的专业选修课和牵头建设专业的必修课资源建设质量高、有特色，应用效果好（25分）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教学资源研发与配置中心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（45）按照国开规定的学习资源配置要求，资源建设质量和特色情况（15分）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教学资源研发与配置中心、教务处、各二级学院、各分校</w:t>
            </w:r>
          </w:p>
        </w:tc>
      </w:tr>
      <w:tr w:rsidR="00CA7C6C">
        <w:trPr>
          <w:trHeight w:val="1099"/>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（46）优质资源向社会推广、开放的情况（10分）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教学资源研发与配置中心</w:t>
            </w:r>
          </w:p>
        </w:tc>
      </w:tr>
      <w:tr w:rsidR="00CA7C6C">
        <w:trPr>
          <w:trHeight w:val="270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3.7.3 省校对国开提供的数字图书馆资源和服务进行推广、培训和答疑；除国开提供的资源和服务外，省校配备满足本地教学需求的纸质书刊和电子资源，配套服务与保障机制健全，生均图书（含电子资料）100册以上(10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周宇</w:t>
            </w:r>
          </w:p>
          <w:p w:rsidR="00CA7C6C" w:rsidRDefault="00F2230D">
            <w:pPr>
              <w:jc w:val="center"/>
              <w:rPr>
                <w:rFonts w:ascii="仿宋" w:eastAsia="仿宋" w:hAnsi="仿宋"/>
                <w:sz w:val="24"/>
                <w:szCs w:val="24"/>
              </w:rPr>
            </w:pPr>
            <w:r>
              <w:rPr>
                <w:rFonts w:ascii="仿宋" w:eastAsia="仿宋" w:hAnsi="仿宋" w:hint="eastAsia"/>
                <w:sz w:val="24"/>
                <w:szCs w:val="24"/>
              </w:rPr>
              <w:t>彭进清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图书馆</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（47）省校对国开提供的数字图书馆资源和服务进行推广、培训和答疑的情况（5分）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图书馆</w:t>
            </w:r>
          </w:p>
        </w:tc>
      </w:tr>
      <w:tr w:rsidR="00CA7C6C">
        <w:trPr>
          <w:trHeight w:val="234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（48）除国开提供的资源和服务外，省校配备满足本地教学需求的纸质书刊和电子资源，配套服务与保障机制、生均图书（含电子资料）的情况(5分)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图书馆</w:t>
            </w:r>
          </w:p>
        </w:tc>
      </w:tr>
      <w:tr w:rsidR="00CA7C6C">
        <w:trPr>
          <w:trHeight w:val="1299"/>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3.8 人员培训（20分）</w:t>
            </w: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3.8.1 按要求参加国开组织的各类培训（10分）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汤筱飞</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（49）按要求参加国开组织的各类培训的情况（10分）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校属各单位（部门）</w:t>
            </w:r>
          </w:p>
        </w:tc>
      </w:tr>
      <w:tr w:rsidR="00CA7C6C">
        <w:trPr>
          <w:trHeight w:val="2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3.8.2 定期组织开展全省开</w:t>
            </w:r>
            <w:r>
              <w:rPr>
                <w:rFonts w:ascii="仿宋" w:eastAsia="仿宋" w:hAnsi="仿宋" w:hint="eastAsia"/>
                <w:sz w:val="24"/>
                <w:szCs w:val="24"/>
              </w:rPr>
              <w:lastRenderedPageBreak/>
              <w:t>大系统各类人员培训（10分）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汤筱飞</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（50）定期组织开展全省开大系统各类人员培训的情况（10分）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校属各单位（部门）、各分校</w:t>
            </w:r>
          </w:p>
        </w:tc>
      </w:tr>
      <w:tr w:rsidR="00CA7C6C">
        <w:trPr>
          <w:trHeight w:val="1288"/>
          <w:jc w:val="center"/>
        </w:trPr>
        <w:tc>
          <w:tcPr>
            <w:tcW w:w="328"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4.教学运行与效果（340分）</w:t>
            </w: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4.1 招生宣传与规范管理（40分）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4.1.1 按国开统一要求开展招生宣传，无虚假宣传、违规招生等问题（30分）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（51）招生单位的招生简章符合要求，以及违规承诺、虚假宣传的情况（25分）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系统建设与招生工作处、各分校</w:t>
            </w:r>
          </w:p>
        </w:tc>
      </w:tr>
      <w:tr w:rsidR="00CA7C6C">
        <w:trPr>
          <w:trHeight w:val="696"/>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（52）全省开大系统没有学生关于招生宣传问题的信访投诉，或学生有投诉省校无过错（5分）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系统建设与招生工作处、各分校</w:t>
            </w:r>
          </w:p>
        </w:tc>
      </w:tr>
      <w:tr w:rsidR="00CA7C6C">
        <w:trPr>
          <w:trHeight w:val="2288"/>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（53）近一年有严重违规招生问题（跨区域招生、委托中介招生等）本项不得分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系统建设与招生工作处、各分校</w:t>
            </w:r>
          </w:p>
        </w:tc>
      </w:tr>
      <w:tr w:rsidR="00CA7C6C">
        <w:trPr>
          <w:trHeight w:val="219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4.1.2 按国开要求完成入学资格审核（10分）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（54）学生提交的报名材料符合规定情况（6分）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系统建设与招生工作处、各分校</w:t>
            </w:r>
          </w:p>
        </w:tc>
      </w:tr>
      <w:tr w:rsidR="00CA7C6C">
        <w:trPr>
          <w:trHeight w:val="282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（55）入学资格审核手续齐全、及时的情况（4分）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系统建设与招生工作处、各分校</w:t>
            </w:r>
          </w:p>
        </w:tc>
      </w:tr>
      <w:tr w:rsidR="00CA7C6C">
        <w:trPr>
          <w:trHeight w:val="128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4.2 线上线下教学的组织管</w:t>
            </w:r>
            <w:r>
              <w:rPr>
                <w:rFonts w:ascii="仿宋" w:eastAsia="仿宋" w:hAnsi="仿宋" w:hint="eastAsia"/>
                <w:sz w:val="24"/>
                <w:szCs w:val="24"/>
              </w:rPr>
              <w:lastRenderedPageBreak/>
              <w:t>理与实施效果（70分）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4.2.1 全省开大系统在教学组织与运行过程中履职尽责；</w:t>
            </w:r>
            <w:r>
              <w:rPr>
                <w:rFonts w:ascii="仿宋" w:eastAsia="仿宋" w:hAnsi="仿宋" w:hint="eastAsia"/>
                <w:sz w:val="24"/>
                <w:szCs w:val="24"/>
              </w:rPr>
              <w:lastRenderedPageBreak/>
              <w:t>省校有措施督查全省开大系统各分校、二级学院开展面授、落实网上教学的情况</w:t>
            </w:r>
          </w:p>
          <w:p w:rsidR="00CA7C6C" w:rsidRDefault="00F2230D">
            <w:pPr>
              <w:jc w:val="center"/>
              <w:rPr>
                <w:rFonts w:ascii="仿宋" w:eastAsia="仿宋" w:hAnsi="仿宋"/>
                <w:sz w:val="24"/>
                <w:szCs w:val="24"/>
              </w:rPr>
            </w:pPr>
            <w:r>
              <w:rPr>
                <w:rFonts w:ascii="仿宋" w:eastAsia="仿宋" w:hAnsi="仿宋" w:hint="eastAsia"/>
                <w:sz w:val="24"/>
                <w:szCs w:val="24"/>
              </w:rPr>
              <w:t>（30分）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（56）全省开大系统在教学组织与运行过程中履职尽责情况（15分）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质量监控与评价中心、教务处、各二级学院、各分校</w:t>
            </w:r>
          </w:p>
        </w:tc>
      </w:tr>
      <w:tr w:rsidR="00CA7C6C">
        <w:trPr>
          <w:trHeight w:val="140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（57）省校有措施督查各分校、二级学院开展面授、落实网上教学的情况（15分）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质量监控与评价中心、教务处、各二级学院、各分校</w:t>
            </w:r>
          </w:p>
        </w:tc>
      </w:tr>
      <w:tr w:rsidR="00CA7C6C">
        <w:trPr>
          <w:trHeight w:val="437"/>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4.2.2 有教学团队建设运行、人员资金等方面的支持的政策、评价激励办法。能够以教学团队落实教学过程、开展教研活动、保证教学效果且有据可查。教学团队实施教学服务充分，积极参与国开核心团队工作（20分）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（58）省校对教学团队工作出台的管理和激励办法及落实情况（8分）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w:t>
            </w:r>
          </w:p>
        </w:tc>
      </w:tr>
      <w:tr w:rsidR="00CA7C6C">
        <w:trPr>
          <w:trHeight w:val="140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（59）省校组织教学实施团队的数量和比例（6分）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45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（60）参加国开核心教学团队工作情况（6分）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24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4.2.3 国开学习网上的教与学关键数据指标良好（20分）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（61）教师平均在线天数（4分）</w:t>
            </w:r>
          </w:p>
        </w:tc>
        <w:tc>
          <w:tcPr>
            <w:tcW w:w="770"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34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（62）学生平均在线天数（4分）</w:t>
            </w:r>
          </w:p>
        </w:tc>
        <w:tc>
          <w:tcPr>
            <w:tcW w:w="770" w:type="pct"/>
            <w:vMerge/>
            <w:vAlign w:val="center"/>
          </w:tcPr>
          <w:p w:rsidR="00CA7C6C" w:rsidRDefault="00CA7C6C">
            <w:pPr>
              <w:jc w:val="center"/>
              <w:rPr>
                <w:rFonts w:ascii="仿宋" w:eastAsia="仿宋" w:hAnsi="仿宋"/>
                <w:sz w:val="24"/>
                <w:szCs w:val="24"/>
              </w:rPr>
            </w:pPr>
          </w:p>
        </w:tc>
      </w:tr>
      <w:tr w:rsidR="00CA7C6C">
        <w:trPr>
          <w:trHeight w:val="26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（63）教师人均在线行为次数（4分）</w:t>
            </w:r>
          </w:p>
        </w:tc>
        <w:tc>
          <w:tcPr>
            <w:tcW w:w="770" w:type="pct"/>
            <w:vMerge/>
            <w:vAlign w:val="center"/>
          </w:tcPr>
          <w:p w:rsidR="00CA7C6C" w:rsidRDefault="00CA7C6C">
            <w:pPr>
              <w:jc w:val="center"/>
              <w:rPr>
                <w:rFonts w:ascii="仿宋" w:eastAsia="仿宋" w:hAnsi="仿宋"/>
                <w:sz w:val="24"/>
                <w:szCs w:val="24"/>
              </w:rPr>
            </w:pPr>
          </w:p>
        </w:tc>
      </w:tr>
      <w:tr w:rsidR="00CA7C6C">
        <w:trPr>
          <w:trHeight w:val="62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（64）生均在线学习行为次数（4分）</w:t>
            </w:r>
          </w:p>
        </w:tc>
        <w:tc>
          <w:tcPr>
            <w:tcW w:w="770" w:type="pct"/>
            <w:vMerge/>
            <w:vAlign w:val="center"/>
          </w:tcPr>
          <w:p w:rsidR="00CA7C6C" w:rsidRDefault="00CA7C6C">
            <w:pPr>
              <w:jc w:val="center"/>
              <w:rPr>
                <w:rFonts w:ascii="仿宋" w:eastAsia="仿宋" w:hAnsi="仿宋"/>
                <w:sz w:val="24"/>
                <w:szCs w:val="24"/>
              </w:rPr>
            </w:pPr>
          </w:p>
        </w:tc>
      </w:tr>
      <w:tr w:rsidR="00CA7C6C">
        <w:trPr>
          <w:trHeight w:val="40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（65）学生帖回复率（4分）</w:t>
            </w:r>
          </w:p>
        </w:tc>
        <w:tc>
          <w:tcPr>
            <w:tcW w:w="770" w:type="pct"/>
            <w:vMerge/>
            <w:vAlign w:val="center"/>
          </w:tcPr>
          <w:p w:rsidR="00CA7C6C" w:rsidRDefault="00CA7C6C">
            <w:pPr>
              <w:jc w:val="center"/>
              <w:rPr>
                <w:rFonts w:ascii="仿宋" w:eastAsia="仿宋" w:hAnsi="仿宋"/>
                <w:sz w:val="24"/>
                <w:szCs w:val="24"/>
              </w:rPr>
            </w:pPr>
          </w:p>
        </w:tc>
      </w:tr>
      <w:tr w:rsidR="00CA7C6C">
        <w:trPr>
          <w:trHeight w:val="142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4.3 实践教学（40分）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4.3.1 有实践教学基地和能够满足专业课程实践教学需要的虚拟仿真实训软件或线下实践环境，落实课程实践教学（20分）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（66）实践教学基地和满足专业课程实践教学需要的虚拟仿真实训软件或线下实践环境情况（10分）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40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（67）与合作方签订有效的实践教学协议，实践教学开展记录的情况（10分）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00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4.3.2 毕业实践环节教师指导人数符合规</w:t>
            </w:r>
            <w:r>
              <w:rPr>
                <w:rFonts w:ascii="仿宋" w:eastAsia="仿宋" w:hAnsi="仿宋" w:hint="eastAsia"/>
                <w:sz w:val="24"/>
                <w:szCs w:val="24"/>
              </w:rPr>
              <w:lastRenderedPageBreak/>
              <w:t>定且指导充分。毕业答辩、审核过程规范、结果严谨（20分）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（68）有每学期指导教师名单和学生名单，指导人数符合规定（4分）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82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（69）论文指导正确到位的情况（8分）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2121"/>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（70）毕业答辩和审核管理规范的情况（8分）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28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4.4 师德、思政与学生活动（20</w:t>
            </w:r>
            <w:r>
              <w:rPr>
                <w:rFonts w:ascii="仿宋" w:eastAsia="仿宋" w:hAnsi="仿宋" w:hint="eastAsia"/>
                <w:sz w:val="24"/>
                <w:szCs w:val="24"/>
              </w:rPr>
              <w:lastRenderedPageBreak/>
              <w:t>分）</w:t>
            </w:r>
          </w:p>
        </w:tc>
        <w:tc>
          <w:tcPr>
            <w:tcW w:w="715" w:type="pct"/>
            <w:vMerge w:val="restart"/>
            <w:shd w:val="clear" w:color="auto" w:fill="auto"/>
            <w:vAlign w:val="center"/>
          </w:tcPr>
          <w:p w:rsidR="00CA7C6C" w:rsidRDefault="00F2230D">
            <w:pPr>
              <w:jc w:val="center"/>
              <w:rPr>
                <w:rFonts w:ascii="仿宋" w:eastAsia="仿宋" w:hAnsi="仿宋"/>
                <w:strike/>
                <w:sz w:val="24"/>
                <w:szCs w:val="24"/>
              </w:rPr>
            </w:pPr>
            <w:r>
              <w:rPr>
                <w:rFonts w:ascii="仿宋" w:eastAsia="仿宋" w:hAnsi="仿宋" w:hint="eastAsia"/>
                <w:sz w:val="24"/>
                <w:szCs w:val="24"/>
              </w:rPr>
              <w:lastRenderedPageBreak/>
              <w:t>4.4.1师德师风建设情况和落实国开教师行为规范情况；思</w:t>
            </w:r>
            <w:r>
              <w:rPr>
                <w:rFonts w:ascii="仿宋" w:eastAsia="仿宋" w:hAnsi="仿宋" w:hint="eastAsia"/>
                <w:sz w:val="24"/>
                <w:szCs w:val="24"/>
              </w:rPr>
              <w:lastRenderedPageBreak/>
              <w:t>政课程教学、研究、培训，落实推进课程思政开展情况及效果（10分）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汤筱飞</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（71）师德师风建设情况和落实国开教师行为规范情况（5分）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人事处、质量监控与评价中心、各分校</w:t>
            </w:r>
          </w:p>
        </w:tc>
      </w:tr>
      <w:tr w:rsidR="00CA7C6C">
        <w:trPr>
          <w:trHeight w:val="187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（72）思政课程教学、研究、培训，落实推进课程思政开展情况及效果（5分）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67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4.4.2 学生思想政治教育，学生社团、党团等组织立德树人教育活动开展情况及效果（10分）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吴敏</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学生工作处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（73）学生思政教育、立德树人教育活动的记录和效果（6分）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学生工作处、各分校</w:t>
            </w:r>
          </w:p>
        </w:tc>
      </w:tr>
      <w:tr w:rsidR="00CA7C6C">
        <w:trPr>
          <w:trHeight w:val="83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（74）学生社团活动及学生参与度、学生党团组织及运行情况（4分）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学生工作处、各分校</w:t>
            </w:r>
          </w:p>
        </w:tc>
      </w:tr>
      <w:tr w:rsidR="00CA7C6C">
        <w:trPr>
          <w:trHeight w:val="114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4.5形成性考核和终结性考试的组织、实施、评阅和成</w:t>
            </w:r>
            <w:r>
              <w:rPr>
                <w:rFonts w:ascii="仿宋" w:eastAsia="仿宋" w:hAnsi="仿宋" w:hint="eastAsia"/>
                <w:sz w:val="24"/>
                <w:szCs w:val="24"/>
              </w:rPr>
              <w:lastRenderedPageBreak/>
              <w:t>绩管理（90分）</w:t>
            </w:r>
          </w:p>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4.5.1认真执行形成性考核的规定和要求，评阅和成绩管理严格，存档规范（15分）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（75）纸质形考作业评阅过程中教师签名、打分的情况，在作业评阅中体现教学反馈情况（7分）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14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（76）网上形考作业提交及时，批改及时，登分无差错（6分）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14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（77）存档规范（2分）</w:t>
            </w:r>
          </w:p>
          <w:p w:rsidR="00CA7C6C" w:rsidRDefault="00F2230D">
            <w:pPr>
              <w:jc w:val="center"/>
              <w:rPr>
                <w:rFonts w:ascii="仿宋" w:eastAsia="仿宋" w:hAnsi="仿宋"/>
                <w:sz w:val="24"/>
                <w:szCs w:val="24"/>
              </w:rPr>
            </w:pPr>
            <w:r>
              <w:rPr>
                <w:rFonts w:ascii="仿宋" w:eastAsia="仿宋" w:hAnsi="仿宋" w:hint="eastAsia"/>
                <w:sz w:val="24"/>
                <w:szCs w:val="24"/>
              </w:rPr>
              <w:t>存档缺失严重的，此项得分不得超过5分。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68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4.5.2有定期检查形成性考核完成情况和评阅质量的机制（20分）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（78）定期检查形成性考核完成情况和评阅质量的机制情况（20分）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教务处、质量监控与评价中心、各二级学院、各分校</w:t>
            </w:r>
          </w:p>
        </w:tc>
      </w:tr>
      <w:tr w:rsidR="00CA7C6C">
        <w:trPr>
          <w:trHeight w:val="86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4.5.3 严格落实国家开放大学关于终结性考试的各项要求；考试组织与管理规范，认真组织考务人员业务培训，有效组织蹲考、巡考工作；有效落实</w:t>
            </w:r>
            <w:r>
              <w:rPr>
                <w:rFonts w:ascii="仿宋" w:eastAsia="仿宋" w:hAnsi="仿宋" w:hint="eastAsia"/>
                <w:sz w:val="24"/>
                <w:szCs w:val="24"/>
              </w:rPr>
              <w:lastRenderedPageBreak/>
              <w:t>学生诚信教育；严管考风考纪，对违纪学生及时处理、通报曝光（35分）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（79）落实国开终结性考试文件要求，及时下发并有效落实情况（5分）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19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（80）组织考试工作人员（含主考、巡考人员、监考人员）业务培训和考核，落实考试工作人员持证上岗要求情况（10分）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19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（81）有效组织蹲考、巡考工作情况（8分）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19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（82）有效落实学生诚信教育情况（5分）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49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（83）及时严肃处理违规事件、通报曝光（7分）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19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（84）近一年存在严重考试违规行为，或者考试组织造成不良社会影响的本项不得分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14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4.5.4 终结性考试试卷接收、入库、分发、评阅、成绩登录及管理等环节组织严密，管理严格规范（20分）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rPr>
                <w:rFonts w:ascii="仿宋" w:eastAsia="仿宋" w:hAnsi="仿宋"/>
                <w:sz w:val="24"/>
                <w:szCs w:val="24"/>
              </w:rPr>
            </w:pPr>
            <w:r>
              <w:rPr>
                <w:rFonts w:ascii="仿宋" w:eastAsia="仿宋" w:hAnsi="仿宋" w:hint="eastAsia"/>
                <w:sz w:val="24"/>
                <w:szCs w:val="24"/>
              </w:rPr>
              <w:t>（85）试卷接收、入库、分发、评阅等环节规范有序可查，严格落实抽检的情况（7分）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76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（86）成绩登录及管理等环节组织严密，管理严格规范的情况（7分）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76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（87）定期开展考试成绩分析并反馈教学环节的情况（6分）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64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4.6 学习支持服务和满意度（50分）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4.6.1 能及时解决学生学习过程中遇到的各种问题；由专人负责或有专门渠道及时提供学生咨询服务，处理及时，学生对处理结果满意度高（15分）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（88）省校对学生学习支持服务事务的响应速度情况（5分）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7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（89）由专人负责或有专门渠道及时提供学生咨询服务情况（3分）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教务处、各二级学院、学生工作处、系统建设与招生工作处、各分校</w:t>
            </w:r>
          </w:p>
        </w:tc>
      </w:tr>
      <w:tr w:rsidR="00CA7C6C">
        <w:trPr>
          <w:trHeight w:val="41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（90）处理及时（4分）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教务处、各二级学院、学生工作处、系统建设与招生工作处、各分校</w:t>
            </w:r>
          </w:p>
        </w:tc>
      </w:tr>
      <w:tr w:rsidR="00CA7C6C">
        <w:trPr>
          <w:trHeight w:val="5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（91）学生对处理结果的满意度（3分）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28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4.6.2 使用电话、网络、手机App、线下等多种方式向学生</w:t>
            </w:r>
            <w:r>
              <w:rPr>
                <w:rFonts w:ascii="仿宋" w:eastAsia="仿宋" w:hAnsi="仿宋" w:hint="eastAsia"/>
                <w:sz w:val="24"/>
                <w:szCs w:val="24"/>
              </w:rPr>
              <w:lastRenderedPageBreak/>
              <w:t>提供学术、非学术支持服务（15分）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（92）省校向学生提供学习支持服务的工具具有多样性，学生可以通过多种方式获取支持服务的情况（10分）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56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（93）省校向学生提供的支持服务的内容具有广泛性，覆盖学术和非学术两方面的情况（5分）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62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4.6.3 支持开展满意度调查，学生、毕业生对学校教学和服务等方面满意度高（20分）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（94）很满意≥50%或满意≥90%（20分），其他情况如满意度调查完成率不足60%等酌情减分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1199"/>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 学籍、毕业及学位管理（30分）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4.7.1 学籍管理流程规范，有与学生规模相适应的学籍管理人员，学生档案保存良好，关键环节落实到位（6分）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（95）学籍管理制度完整，流程执行规范（3分）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24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（96）学籍管理岗位人员与学生规模相适应（3分）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00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4.7.2 毕业管理过程规范，关键环节落实到</w:t>
            </w:r>
            <w:r>
              <w:rPr>
                <w:rFonts w:ascii="仿宋" w:eastAsia="仿宋" w:hAnsi="仿宋" w:hint="eastAsia"/>
                <w:sz w:val="24"/>
                <w:szCs w:val="24"/>
              </w:rPr>
              <w:lastRenderedPageBreak/>
              <w:t>位（6分）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（97）毕业生登记表填写规范情况（2分）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124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（98）毕业资格审核规范情况（4分）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7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4.7.3 学位管理流程规范，学位审核严谨，关键环节落实到位（6分）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（99）学位审核表填写规范情况（2分）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77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（100）审核意见填写规范情况（4分）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53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4.7.4 毕业证书和学位证书保管得当、发放及时（6分）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（101）毕业证书保存、移交和发放签收规范情况（3分）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60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（102）学位证书保存、移交和发放签收规范情况（3分）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579"/>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4.7.5 免修免考管理流程规范，审核严谨，反馈及时（6分）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（103）省校按规范标准进行免修免考审核并上报的情况（4分）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7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（104）反馈结果及时（2分）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教务处、各分校</w:t>
            </w:r>
          </w:p>
        </w:tc>
      </w:tr>
      <w:tr w:rsidR="00CA7C6C">
        <w:trPr>
          <w:trHeight w:val="761"/>
          <w:jc w:val="center"/>
        </w:trPr>
        <w:tc>
          <w:tcPr>
            <w:tcW w:w="328" w:type="pct"/>
            <w:vMerge w:val="restart"/>
            <w:shd w:val="clear" w:color="auto" w:fill="auto"/>
            <w:vAlign w:val="center"/>
          </w:tcPr>
          <w:p w:rsidR="00CA7C6C" w:rsidRDefault="00CA7C6C">
            <w:pPr>
              <w:jc w:val="center"/>
              <w:rPr>
                <w:rFonts w:ascii="仿宋" w:eastAsia="仿宋" w:hAnsi="仿宋"/>
                <w:sz w:val="24"/>
                <w:szCs w:val="24"/>
              </w:rPr>
            </w:pPr>
          </w:p>
          <w:p w:rsidR="00CA7C6C" w:rsidRDefault="00F2230D">
            <w:pPr>
              <w:numPr>
                <w:ilvl w:val="0"/>
                <w:numId w:val="1"/>
              </w:numPr>
              <w:jc w:val="center"/>
              <w:rPr>
                <w:rFonts w:ascii="仿宋" w:eastAsia="仿宋" w:hAnsi="仿宋"/>
                <w:sz w:val="24"/>
                <w:szCs w:val="24"/>
              </w:rPr>
            </w:pPr>
            <w:r>
              <w:rPr>
                <w:rFonts w:ascii="仿宋" w:eastAsia="仿宋" w:hAnsi="仿宋"/>
                <w:sz w:val="24"/>
                <w:szCs w:val="24"/>
              </w:rPr>
              <w:t>质量管</w:t>
            </w:r>
            <w:r>
              <w:rPr>
                <w:rFonts w:ascii="仿宋" w:eastAsia="仿宋" w:hAnsi="仿宋"/>
                <w:sz w:val="24"/>
                <w:szCs w:val="24"/>
              </w:rPr>
              <w:lastRenderedPageBreak/>
              <w:t>理（120分）</w:t>
            </w: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5.1 执行国家开放大</w:t>
            </w:r>
            <w:r>
              <w:rPr>
                <w:rFonts w:ascii="仿宋" w:eastAsia="仿宋" w:hAnsi="仿宋" w:hint="eastAsia"/>
                <w:sz w:val="24"/>
                <w:szCs w:val="24"/>
              </w:rPr>
              <w:lastRenderedPageBreak/>
              <w:t>学质量标准、落实质量报告工作、完成评估检查及整改工作的情况（50分）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5.1.1 严格执行国家开放大学质量标准，并</w:t>
            </w:r>
            <w:r>
              <w:rPr>
                <w:rFonts w:ascii="仿宋" w:eastAsia="仿宋" w:hAnsi="仿宋" w:hint="eastAsia"/>
                <w:sz w:val="24"/>
                <w:szCs w:val="24"/>
              </w:rPr>
              <w:lastRenderedPageBreak/>
              <w:t>组织全省开大系统贯彻落实（20分）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5</w:t>
            </w:r>
            <w:r>
              <w:rPr>
                <w:rFonts w:ascii="仿宋" w:eastAsia="仿宋" w:hAnsi="仿宋" w:hint="eastAsia"/>
                <w:sz w:val="24"/>
                <w:szCs w:val="24"/>
              </w:rPr>
              <w:t>）省校执行国家开放大学质量标准，教职工对质量标准知晓度的情况（10分）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1371"/>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6</w:t>
            </w:r>
            <w:r>
              <w:rPr>
                <w:rFonts w:ascii="仿宋" w:eastAsia="仿宋" w:hAnsi="仿宋" w:hint="eastAsia"/>
                <w:sz w:val="24"/>
                <w:szCs w:val="24"/>
              </w:rPr>
              <w:t>）在全省开大系统组织贯彻落实的情况（10分）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109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5.1.2 质量报告编制认真，全省开大系统有落实年报报送与发布的机制（10分）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（107）质量报告编写认真，报送及时的情况（5分）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109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（108）全省开大系统落实年报报送与发布的机制的情况（5分）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86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5.1.3 落实国开评价评估、检查督导等工作要求并有效整改（20分）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（109）按国开部署，制定工作方案、明确领导小组和工作小组，如期推进相关工作的情况（12分）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98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（110）对国开评估、检查、督导发现的问题有效整改的情况（8分）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2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5.2 省校质量管理团队和质</w:t>
            </w:r>
            <w:r>
              <w:rPr>
                <w:rFonts w:ascii="仿宋" w:eastAsia="仿宋" w:hAnsi="仿宋" w:hint="eastAsia"/>
                <w:sz w:val="24"/>
                <w:szCs w:val="24"/>
              </w:rPr>
              <w:lastRenderedPageBreak/>
              <w:t>量保证体系的建设与运行（70分）</w:t>
            </w:r>
          </w:p>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5.2.1 持续完善全省开大系统办学的质量保证体系（20</w:t>
            </w:r>
            <w:r>
              <w:rPr>
                <w:rFonts w:ascii="仿宋" w:eastAsia="仿宋" w:hAnsi="仿宋" w:hint="eastAsia"/>
                <w:sz w:val="24"/>
                <w:szCs w:val="24"/>
              </w:rPr>
              <w:lastRenderedPageBreak/>
              <w:t>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王焕清</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（111）省校有完整质量保证体系，并有效执行（16-20分）；省校质量保证有措施，逐步完善，努力构建质量保证体系（6-15分）；省校没有有效质量保证</w:t>
            </w:r>
            <w:r>
              <w:rPr>
                <w:rFonts w:ascii="仿宋" w:eastAsia="仿宋" w:hAnsi="仿宋" w:hint="eastAsia"/>
                <w:sz w:val="24"/>
                <w:szCs w:val="24"/>
              </w:rPr>
              <w:lastRenderedPageBreak/>
              <w:t>措施（0-5分）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质量监控与评价中心、各分校</w:t>
            </w:r>
          </w:p>
        </w:tc>
      </w:tr>
      <w:tr w:rsidR="00CA7C6C">
        <w:trPr>
          <w:trHeight w:val="841"/>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5.2.2 省校设有专人专职负责质量管理，各分校有专职人员负责质量管理；全省开大系统建有质量管理团队且工作有效（20分）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（112）省校质量管理岗位设置情况（6分）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854"/>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（113）指导分校质量管理岗位设置情况（4分）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155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（114）全省开大系统质量管理团队及工作情况（10分）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43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5.2.3 定期或不定期开展对分校、各二级学院的教学检查、评估、督导，通报结果并督促整改，违纪违规处置有记录（30分）</w:t>
            </w:r>
          </w:p>
        </w:tc>
        <w:tc>
          <w:tcPr>
            <w:tcW w:w="60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（115）定期开展情况，覆盖分校、各二级学院、县级电大的情况，通报结果、督促整改情况，违纪违规处置记录情况（30分）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质量监控与评价中心、各分校</w:t>
            </w:r>
          </w:p>
        </w:tc>
      </w:tr>
      <w:tr w:rsidR="00CA7C6C">
        <w:trPr>
          <w:trHeight w:val="1288"/>
          <w:jc w:val="center"/>
        </w:trPr>
        <w:tc>
          <w:tcPr>
            <w:tcW w:w="328"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lastRenderedPageBreak/>
              <w:t>6.创新与服务（90分）</w:t>
            </w: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6.1 人才培养模式改革、教学改革、管理制度创新（40分）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6.1.1 积极参加国开组织的教学改革试点，教学改革、人才培养模式改革思路清晰，有举措、有进展（20分）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（116）人才培养模式改革，以及教学模式、管理模式、运行机制的提炼表述情况（10分）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1956"/>
          <w:jc w:val="center"/>
        </w:trPr>
        <w:tc>
          <w:tcPr>
            <w:tcW w:w="328" w:type="pct"/>
            <w:vMerge/>
            <w:shd w:val="clear" w:color="auto" w:fill="auto"/>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（117）改革的措施、进展、痕迹、成效情况（10分）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教务处、各二级学院、各分校</w:t>
            </w:r>
          </w:p>
        </w:tc>
      </w:tr>
      <w:tr w:rsidR="00CA7C6C">
        <w:trPr>
          <w:trHeight w:val="780"/>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6.1.2 教学管理制度建设有创新（20分）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（118）教学管理制度建设在全面规范基础上的特色、创新程度（10分）</w:t>
            </w:r>
          </w:p>
        </w:tc>
        <w:tc>
          <w:tcPr>
            <w:tcW w:w="770"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教务处、学生工作处、各二级学院、各分校</w:t>
            </w:r>
          </w:p>
        </w:tc>
      </w:tr>
      <w:tr w:rsidR="00CA7C6C">
        <w:trPr>
          <w:trHeight w:val="5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（119）可复制、可推广的程度（10分）</w:t>
            </w:r>
          </w:p>
        </w:tc>
        <w:tc>
          <w:tcPr>
            <w:tcW w:w="770" w:type="pct"/>
            <w:vMerge/>
            <w:vAlign w:val="center"/>
          </w:tcPr>
          <w:p w:rsidR="00CA7C6C" w:rsidRDefault="00CA7C6C">
            <w:pPr>
              <w:jc w:val="center"/>
              <w:rPr>
                <w:rFonts w:ascii="仿宋" w:eastAsia="仿宋" w:hAnsi="仿宋"/>
                <w:sz w:val="24"/>
                <w:szCs w:val="24"/>
              </w:rPr>
            </w:pPr>
          </w:p>
        </w:tc>
      </w:tr>
      <w:tr w:rsidR="00CA7C6C">
        <w:trPr>
          <w:trHeight w:val="3272"/>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6.2 服务经济社会发展的效果与影响（50分）</w:t>
            </w: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6.2.1 积极服务区域经济社会发展，在当地的社会影响正面、较好（25分）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王焕清</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质量监控与评价中心</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（120）学历教育人才培养在当地的正面社会影响情况（10分）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教务处、学生工作处、各二级学院、各分校</w:t>
            </w:r>
          </w:p>
        </w:tc>
      </w:tr>
      <w:tr w:rsidR="00CA7C6C">
        <w:trPr>
          <w:trHeight w:val="397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（121）非学历教育及社区老年教育、社会培训、学分银行等在当地的正面社会影响情况（15分）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终身教育指导服务中心办公室、社会教育学院、培训学院、马克思主义学院、各分校</w:t>
            </w:r>
          </w:p>
        </w:tc>
      </w:tr>
      <w:tr w:rsidR="00CA7C6C">
        <w:trPr>
          <w:trHeight w:val="124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6.2.2 当地政府或教育行政部门对办学单位有政策、项目的支持或投入（10分）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（122）当地政府或教育行政部门对开放大学办学有支持性政策性批文（5分）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党政办公室、各分校</w:t>
            </w:r>
          </w:p>
        </w:tc>
      </w:tr>
      <w:tr w:rsidR="00CA7C6C">
        <w:trPr>
          <w:trHeight w:val="1248"/>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shd w:val="clear" w:color="auto" w:fill="auto"/>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（123）当地政府或教育行政部门对开放大学的项目立项、财政拨款情况（5分）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财务处、各分校</w:t>
            </w:r>
          </w:p>
        </w:tc>
      </w:tr>
      <w:tr w:rsidR="00CA7C6C">
        <w:trPr>
          <w:trHeight w:val="936"/>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val="restart"/>
            <w:shd w:val="clear" w:color="auto" w:fill="auto"/>
            <w:vAlign w:val="center"/>
          </w:tcPr>
          <w:p w:rsidR="00CA7C6C" w:rsidRDefault="00F2230D">
            <w:pPr>
              <w:jc w:val="center"/>
              <w:rPr>
                <w:rFonts w:ascii="仿宋" w:eastAsia="仿宋" w:hAnsi="仿宋"/>
                <w:sz w:val="24"/>
                <w:szCs w:val="24"/>
              </w:rPr>
            </w:pPr>
            <w:r>
              <w:rPr>
                <w:rFonts w:ascii="仿宋" w:eastAsia="仿宋" w:hAnsi="仿宋" w:hint="eastAsia"/>
                <w:sz w:val="24"/>
                <w:szCs w:val="24"/>
              </w:rPr>
              <w:t>6.2.3 取得高水平教学科研成果，培养的学生获得政府奖励或在地方有影响力（15分）</w:t>
            </w:r>
          </w:p>
        </w:tc>
        <w:tc>
          <w:tcPr>
            <w:tcW w:w="60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刘柏炎</w:t>
            </w:r>
          </w:p>
        </w:tc>
        <w:tc>
          <w:tcPr>
            <w:tcW w:w="494" w:type="pct"/>
            <w:vMerge w:val="restart"/>
            <w:vAlign w:val="center"/>
          </w:tcPr>
          <w:p w:rsidR="00CA7C6C" w:rsidRDefault="00F2230D">
            <w:pPr>
              <w:jc w:val="center"/>
              <w:rPr>
                <w:rFonts w:ascii="仿宋" w:eastAsia="仿宋" w:hAnsi="仿宋"/>
                <w:sz w:val="24"/>
                <w:szCs w:val="24"/>
              </w:rPr>
            </w:pPr>
            <w:r>
              <w:rPr>
                <w:rFonts w:ascii="仿宋" w:eastAsia="仿宋" w:hAnsi="仿宋" w:hint="eastAsia"/>
                <w:sz w:val="24"/>
                <w:szCs w:val="24"/>
              </w:rPr>
              <w:t>教务处</w:t>
            </w: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（124）获得国家级教学科研成果情况（10分）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各二级学院、教务处、科研处、各分校</w:t>
            </w:r>
          </w:p>
        </w:tc>
      </w:tr>
      <w:tr w:rsidR="00CA7C6C">
        <w:trPr>
          <w:trHeight w:val="903"/>
          <w:jc w:val="center"/>
        </w:trPr>
        <w:tc>
          <w:tcPr>
            <w:tcW w:w="328" w:type="pct"/>
            <w:vMerge/>
            <w:vAlign w:val="center"/>
          </w:tcPr>
          <w:p w:rsidR="00CA7C6C" w:rsidRDefault="00CA7C6C">
            <w:pPr>
              <w:jc w:val="center"/>
              <w:rPr>
                <w:rFonts w:ascii="仿宋" w:eastAsia="仿宋" w:hAnsi="仿宋"/>
                <w:sz w:val="24"/>
                <w:szCs w:val="24"/>
              </w:rPr>
            </w:pPr>
          </w:p>
        </w:tc>
        <w:tc>
          <w:tcPr>
            <w:tcW w:w="440" w:type="pct"/>
            <w:vMerge/>
            <w:vAlign w:val="center"/>
          </w:tcPr>
          <w:p w:rsidR="00CA7C6C" w:rsidRDefault="00CA7C6C">
            <w:pPr>
              <w:jc w:val="center"/>
              <w:rPr>
                <w:rFonts w:ascii="仿宋" w:eastAsia="仿宋" w:hAnsi="仿宋"/>
                <w:sz w:val="24"/>
                <w:szCs w:val="24"/>
              </w:rPr>
            </w:pPr>
          </w:p>
        </w:tc>
        <w:tc>
          <w:tcPr>
            <w:tcW w:w="715" w:type="pct"/>
            <w:vMerge/>
            <w:shd w:val="clear" w:color="auto" w:fill="auto"/>
            <w:vAlign w:val="center"/>
          </w:tcPr>
          <w:p w:rsidR="00CA7C6C" w:rsidRDefault="00CA7C6C">
            <w:pPr>
              <w:jc w:val="center"/>
              <w:rPr>
                <w:rFonts w:ascii="仿宋" w:eastAsia="仿宋" w:hAnsi="仿宋"/>
                <w:sz w:val="24"/>
                <w:szCs w:val="24"/>
              </w:rPr>
            </w:pPr>
          </w:p>
        </w:tc>
        <w:tc>
          <w:tcPr>
            <w:tcW w:w="604" w:type="pct"/>
            <w:vMerge/>
            <w:vAlign w:val="center"/>
          </w:tcPr>
          <w:p w:rsidR="00CA7C6C" w:rsidRDefault="00CA7C6C">
            <w:pPr>
              <w:jc w:val="center"/>
              <w:rPr>
                <w:rFonts w:ascii="仿宋" w:eastAsia="仿宋" w:hAnsi="仿宋"/>
                <w:sz w:val="24"/>
                <w:szCs w:val="24"/>
              </w:rPr>
            </w:pPr>
          </w:p>
        </w:tc>
        <w:tc>
          <w:tcPr>
            <w:tcW w:w="494" w:type="pct"/>
            <w:vMerge/>
            <w:vAlign w:val="center"/>
          </w:tcPr>
          <w:p w:rsidR="00CA7C6C" w:rsidRDefault="00CA7C6C">
            <w:pPr>
              <w:jc w:val="center"/>
              <w:rPr>
                <w:rFonts w:ascii="仿宋" w:eastAsia="仿宋" w:hAnsi="仿宋"/>
                <w:sz w:val="24"/>
                <w:szCs w:val="24"/>
              </w:rPr>
            </w:pPr>
          </w:p>
        </w:tc>
        <w:tc>
          <w:tcPr>
            <w:tcW w:w="1649"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（125）培养的学生获得政府奖励或在地方影响的情况（5分）</w:t>
            </w:r>
          </w:p>
        </w:tc>
        <w:tc>
          <w:tcPr>
            <w:tcW w:w="770" w:type="pct"/>
            <w:vAlign w:val="center"/>
          </w:tcPr>
          <w:p w:rsidR="00CA7C6C" w:rsidRDefault="00F2230D">
            <w:pPr>
              <w:jc w:val="center"/>
              <w:rPr>
                <w:rFonts w:ascii="仿宋" w:eastAsia="仿宋" w:hAnsi="仿宋"/>
                <w:sz w:val="24"/>
                <w:szCs w:val="24"/>
              </w:rPr>
            </w:pPr>
            <w:r>
              <w:rPr>
                <w:rFonts w:ascii="仿宋" w:eastAsia="仿宋" w:hAnsi="仿宋" w:hint="eastAsia"/>
                <w:sz w:val="24"/>
                <w:szCs w:val="24"/>
              </w:rPr>
              <w:t>学生工作处、各二级学院、各分校</w:t>
            </w:r>
          </w:p>
        </w:tc>
      </w:tr>
    </w:tbl>
    <w:p w:rsidR="00CA7C6C" w:rsidRDefault="00F2230D">
      <w:pPr>
        <w:jc w:val="left"/>
        <w:rPr>
          <w:rFonts w:ascii="仿宋" w:eastAsia="仿宋" w:hAnsi="仿宋"/>
          <w:kern w:val="0"/>
          <w:sz w:val="28"/>
          <w:szCs w:val="28"/>
        </w:rPr>
      </w:pPr>
      <w:r>
        <w:rPr>
          <w:rFonts w:ascii="仿宋" w:eastAsia="仿宋" w:hAnsi="仿宋"/>
          <w:kern w:val="0"/>
          <w:sz w:val="28"/>
          <w:szCs w:val="28"/>
        </w:rPr>
        <w:t>说明：1.具体观测点赋分时，凡内容表述意为“情况”“程度”的，评估时视实际程度赋分；凡内容表述意为“有无”的，评估时视实际情况打满分或零分。</w:t>
      </w:r>
    </w:p>
    <w:p w:rsidR="00001D34" w:rsidRPr="004D25E6" w:rsidRDefault="00F2230D" w:rsidP="00001D34">
      <w:pPr>
        <w:ind w:firstLineChars="300" w:firstLine="840"/>
        <w:jc w:val="left"/>
        <w:rPr>
          <w:rFonts w:ascii="仿宋" w:eastAsia="仿宋" w:hAnsi="仿宋"/>
          <w:kern w:val="0"/>
          <w:sz w:val="28"/>
          <w:szCs w:val="28"/>
        </w:rPr>
        <w:sectPr w:rsidR="00001D34" w:rsidRPr="004D25E6">
          <w:footerReference w:type="default" r:id="rId10"/>
          <w:pgSz w:w="16838" w:h="11906" w:orient="landscape"/>
          <w:pgMar w:top="1800" w:right="1440" w:bottom="1800" w:left="1440" w:header="851" w:footer="992" w:gutter="0"/>
          <w:cols w:space="425"/>
          <w:docGrid w:type="lines" w:linePitch="312"/>
        </w:sectPr>
      </w:pPr>
      <w:r>
        <w:rPr>
          <w:rFonts w:ascii="仿宋" w:eastAsia="仿宋" w:hAnsi="仿宋" w:hint="eastAsia"/>
          <w:kern w:val="0"/>
          <w:sz w:val="28"/>
          <w:szCs w:val="28"/>
        </w:rPr>
        <w:t>2</w:t>
      </w:r>
      <w:r>
        <w:rPr>
          <w:rFonts w:ascii="仿宋" w:eastAsia="仿宋" w:hAnsi="仿宋"/>
          <w:kern w:val="0"/>
          <w:sz w:val="28"/>
          <w:szCs w:val="28"/>
        </w:rPr>
        <w:t xml:space="preserve">. </w:t>
      </w:r>
      <w:r w:rsidR="00001D34">
        <w:rPr>
          <w:rFonts w:ascii="仿宋" w:eastAsia="仿宋" w:hAnsi="仿宋"/>
          <w:kern w:val="0"/>
          <w:sz w:val="28"/>
          <w:szCs w:val="28"/>
        </w:rPr>
        <w:t>每项得分必须是整数</w:t>
      </w:r>
      <w:r w:rsidR="004D25E6">
        <w:rPr>
          <w:rFonts w:ascii="仿宋" w:eastAsia="仿宋" w:hAnsi="仿宋" w:hint="eastAsia"/>
          <w:kern w:val="0"/>
          <w:sz w:val="28"/>
          <w:szCs w:val="28"/>
        </w:rPr>
        <w:t>。</w:t>
      </w:r>
    </w:p>
    <w:p w:rsidR="00CA7C6C" w:rsidRPr="004D25E6" w:rsidRDefault="00CA7C6C">
      <w:pPr>
        <w:spacing w:line="560" w:lineRule="exact"/>
        <w:rPr>
          <w:rFonts w:ascii="仿宋" w:eastAsia="仿宋" w:hAnsi="仿宋"/>
        </w:rPr>
      </w:pPr>
    </w:p>
    <w:sectPr w:rsidR="00CA7C6C" w:rsidRPr="004D25E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1F" w:rsidRDefault="0065091F">
      <w:r>
        <w:separator/>
      </w:r>
    </w:p>
  </w:endnote>
  <w:endnote w:type="continuationSeparator" w:id="0">
    <w:p w:rsidR="0065091F" w:rsidRDefault="0065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6C" w:rsidRDefault="00F2230D">
    <w:pPr>
      <w:jc w:val="center"/>
      <w:rPr>
        <w:rFonts w:ascii="Times New Roman" w:hAnsi="Times New Roman"/>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159C2" w:rsidRPr="001159C2">
      <w:rPr>
        <w:rFonts w:ascii="Times New Roman" w:hAnsi="Times New Roman"/>
        <w:noProof/>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6C" w:rsidRDefault="00F2230D">
    <w:pPr>
      <w:pStyle w:val="a5"/>
      <w:jc w:val="center"/>
    </w:pPr>
    <w:r>
      <w:fldChar w:fldCharType="begin"/>
    </w:r>
    <w:r>
      <w:instrText>PAGE   \* MERGEFORMAT</w:instrText>
    </w:r>
    <w:r>
      <w:fldChar w:fldCharType="separate"/>
    </w:r>
    <w:r w:rsidR="001159C2" w:rsidRPr="001159C2">
      <w:rPr>
        <w:noProof/>
        <w:lang w:val="zh-CN"/>
      </w:rPr>
      <w:t>30</w:t>
    </w:r>
    <w:r>
      <w:fldChar w:fldCharType="end"/>
    </w:r>
  </w:p>
  <w:p w:rsidR="00CA7C6C" w:rsidRDefault="00CA7C6C">
    <w:pPr>
      <w:pStyle w:val="a5"/>
    </w:pPr>
  </w:p>
  <w:p w:rsidR="00CA7C6C" w:rsidRDefault="00CA7C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1F" w:rsidRDefault="0065091F">
      <w:r>
        <w:separator/>
      </w:r>
    </w:p>
  </w:footnote>
  <w:footnote w:type="continuationSeparator" w:id="0">
    <w:p w:rsidR="0065091F" w:rsidRDefault="00650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9B319"/>
    <w:multiLevelType w:val="singleLevel"/>
    <w:tmpl w:val="DD99B319"/>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00"/>
    <w:rsid w:val="00001D34"/>
    <w:rsid w:val="00005984"/>
    <w:rsid w:val="0000603C"/>
    <w:rsid w:val="00011E78"/>
    <w:rsid w:val="00022419"/>
    <w:rsid w:val="0002561B"/>
    <w:rsid w:val="00033582"/>
    <w:rsid w:val="000336B1"/>
    <w:rsid w:val="00036AAD"/>
    <w:rsid w:val="00036E47"/>
    <w:rsid w:val="00044114"/>
    <w:rsid w:val="00052169"/>
    <w:rsid w:val="000633CC"/>
    <w:rsid w:val="000707EC"/>
    <w:rsid w:val="00071F66"/>
    <w:rsid w:val="00072A1F"/>
    <w:rsid w:val="000753CC"/>
    <w:rsid w:val="000823F2"/>
    <w:rsid w:val="00090A7E"/>
    <w:rsid w:val="00094DB7"/>
    <w:rsid w:val="000964DE"/>
    <w:rsid w:val="000A05DA"/>
    <w:rsid w:val="000A064D"/>
    <w:rsid w:val="000A224A"/>
    <w:rsid w:val="000B1BE5"/>
    <w:rsid w:val="000B2D52"/>
    <w:rsid w:val="000B3C2C"/>
    <w:rsid w:val="000D193D"/>
    <w:rsid w:val="000D46DB"/>
    <w:rsid w:val="000D4802"/>
    <w:rsid w:val="000D593C"/>
    <w:rsid w:val="000D6C8C"/>
    <w:rsid w:val="000D7B6B"/>
    <w:rsid w:val="000E7BC6"/>
    <w:rsid w:val="000F356C"/>
    <w:rsid w:val="00100AFA"/>
    <w:rsid w:val="00100D53"/>
    <w:rsid w:val="00110D87"/>
    <w:rsid w:val="001153EC"/>
    <w:rsid w:val="001159C2"/>
    <w:rsid w:val="00115D2D"/>
    <w:rsid w:val="00124C9A"/>
    <w:rsid w:val="0012588A"/>
    <w:rsid w:val="00130D92"/>
    <w:rsid w:val="00132689"/>
    <w:rsid w:val="001334F3"/>
    <w:rsid w:val="001352F5"/>
    <w:rsid w:val="0015128C"/>
    <w:rsid w:val="00164F51"/>
    <w:rsid w:val="00167C28"/>
    <w:rsid w:val="001715CE"/>
    <w:rsid w:val="00174F7D"/>
    <w:rsid w:val="001760DE"/>
    <w:rsid w:val="001819CA"/>
    <w:rsid w:val="001832D2"/>
    <w:rsid w:val="00187644"/>
    <w:rsid w:val="00193FDF"/>
    <w:rsid w:val="00194BD1"/>
    <w:rsid w:val="00195E57"/>
    <w:rsid w:val="00197B64"/>
    <w:rsid w:val="001A08E7"/>
    <w:rsid w:val="001A6253"/>
    <w:rsid w:val="001B0A14"/>
    <w:rsid w:val="001C3081"/>
    <w:rsid w:val="001C6D14"/>
    <w:rsid w:val="001D00C9"/>
    <w:rsid w:val="001D077F"/>
    <w:rsid w:val="001D4E56"/>
    <w:rsid w:val="001E7EB4"/>
    <w:rsid w:val="001F42AE"/>
    <w:rsid w:val="001F5D64"/>
    <w:rsid w:val="00201809"/>
    <w:rsid w:val="00206926"/>
    <w:rsid w:val="0021360C"/>
    <w:rsid w:val="00216572"/>
    <w:rsid w:val="00226ED4"/>
    <w:rsid w:val="00242C03"/>
    <w:rsid w:val="0024607B"/>
    <w:rsid w:val="00254112"/>
    <w:rsid w:val="00257B47"/>
    <w:rsid w:val="00266ED8"/>
    <w:rsid w:val="002710AE"/>
    <w:rsid w:val="00281FC0"/>
    <w:rsid w:val="002A140B"/>
    <w:rsid w:val="002A6AFD"/>
    <w:rsid w:val="002B5105"/>
    <w:rsid w:val="002B6176"/>
    <w:rsid w:val="002C46E2"/>
    <w:rsid w:val="002D000A"/>
    <w:rsid w:val="002E23C2"/>
    <w:rsid w:val="002E3174"/>
    <w:rsid w:val="002E6664"/>
    <w:rsid w:val="002F4F98"/>
    <w:rsid w:val="002F6705"/>
    <w:rsid w:val="00303192"/>
    <w:rsid w:val="00313538"/>
    <w:rsid w:val="00313B81"/>
    <w:rsid w:val="003157FE"/>
    <w:rsid w:val="0032066D"/>
    <w:rsid w:val="00320852"/>
    <w:rsid w:val="00331947"/>
    <w:rsid w:val="00332950"/>
    <w:rsid w:val="00337B49"/>
    <w:rsid w:val="00343868"/>
    <w:rsid w:val="003456BB"/>
    <w:rsid w:val="00360866"/>
    <w:rsid w:val="00360F77"/>
    <w:rsid w:val="00361EFA"/>
    <w:rsid w:val="00366920"/>
    <w:rsid w:val="0036738E"/>
    <w:rsid w:val="0036786A"/>
    <w:rsid w:val="0037467F"/>
    <w:rsid w:val="00377316"/>
    <w:rsid w:val="00381ECA"/>
    <w:rsid w:val="00382C4C"/>
    <w:rsid w:val="00384CA2"/>
    <w:rsid w:val="0039297C"/>
    <w:rsid w:val="00397AF6"/>
    <w:rsid w:val="003A2DE5"/>
    <w:rsid w:val="003A37A8"/>
    <w:rsid w:val="003A739B"/>
    <w:rsid w:val="003B7662"/>
    <w:rsid w:val="003C236C"/>
    <w:rsid w:val="003C5EA2"/>
    <w:rsid w:val="003C783B"/>
    <w:rsid w:val="003D0039"/>
    <w:rsid w:val="003D0C6E"/>
    <w:rsid w:val="003D1A20"/>
    <w:rsid w:val="003E49AE"/>
    <w:rsid w:val="003E793B"/>
    <w:rsid w:val="003F64A4"/>
    <w:rsid w:val="004000B9"/>
    <w:rsid w:val="00400FAA"/>
    <w:rsid w:val="00403E05"/>
    <w:rsid w:val="004078E1"/>
    <w:rsid w:val="0041086B"/>
    <w:rsid w:val="004167E6"/>
    <w:rsid w:val="00432BCB"/>
    <w:rsid w:val="00437C85"/>
    <w:rsid w:val="00441D37"/>
    <w:rsid w:val="00450EBA"/>
    <w:rsid w:val="0045422A"/>
    <w:rsid w:val="00460682"/>
    <w:rsid w:val="00463A1C"/>
    <w:rsid w:val="0046702D"/>
    <w:rsid w:val="00467880"/>
    <w:rsid w:val="00470A29"/>
    <w:rsid w:val="00480C5E"/>
    <w:rsid w:val="00482C12"/>
    <w:rsid w:val="00483B53"/>
    <w:rsid w:val="00492E92"/>
    <w:rsid w:val="0049559F"/>
    <w:rsid w:val="00495FE1"/>
    <w:rsid w:val="0049749E"/>
    <w:rsid w:val="004A17BE"/>
    <w:rsid w:val="004C090A"/>
    <w:rsid w:val="004C24E3"/>
    <w:rsid w:val="004C51FD"/>
    <w:rsid w:val="004D12DC"/>
    <w:rsid w:val="004D25E6"/>
    <w:rsid w:val="004D2CA9"/>
    <w:rsid w:val="004D4C66"/>
    <w:rsid w:val="004D6871"/>
    <w:rsid w:val="004E027E"/>
    <w:rsid w:val="004E5B80"/>
    <w:rsid w:val="004E6224"/>
    <w:rsid w:val="004E7549"/>
    <w:rsid w:val="004F41F2"/>
    <w:rsid w:val="00500110"/>
    <w:rsid w:val="00501812"/>
    <w:rsid w:val="00501D52"/>
    <w:rsid w:val="00503116"/>
    <w:rsid w:val="00507E98"/>
    <w:rsid w:val="0051095B"/>
    <w:rsid w:val="00512AFB"/>
    <w:rsid w:val="00517CC4"/>
    <w:rsid w:val="00523019"/>
    <w:rsid w:val="00526702"/>
    <w:rsid w:val="00527A1E"/>
    <w:rsid w:val="00537398"/>
    <w:rsid w:val="00541EDB"/>
    <w:rsid w:val="005507DC"/>
    <w:rsid w:val="00553C79"/>
    <w:rsid w:val="00555A76"/>
    <w:rsid w:val="00555D48"/>
    <w:rsid w:val="0056498C"/>
    <w:rsid w:val="00565E14"/>
    <w:rsid w:val="00566395"/>
    <w:rsid w:val="005674D5"/>
    <w:rsid w:val="00570F11"/>
    <w:rsid w:val="005723A5"/>
    <w:rsid w:val="005755D7"/>
    <w:rsid w:val="005809D4"/>
    <w:rsid w:val="00581F41"/>
    <w:rsid w:val="00582BE2"/>
    <w:rsid w:val="00584984"/>
    <w:rsid w:val="005868E5"/>
    <w:rsid w:val="00590ED5"/>
    <w:rsid w:val="00596510"/>
    <w:rsid w:val="005A30E1"/>
    <w:rsid w:val="005B501C"/>
    <w:rsid w:val="005B7B03"/>
    <w:rsid w:val="005C2EC4"/>
    <w:rsid w:val="005C3EA7"/>
    <w:rsid w:val="005C4B9C"/>
    <w:rsid w:val="005C620D"/>
    <w:rsid w:val="005E1394"/>
    <w:rsid w:val="005E21F6"/>
    <w:rsid w:val="005E7284"/>
    <w:rsid w:val="005F2A9D"/>
    <w:rsid w:val="005F5D5C"/>
    <w:rsid w:val="00613C19"/>
    <w:rsid w:val="00615107"/>
    <w:rsid w:val="00621127"/>
    <w:rsid w:val="00622E50"/>
    <w:rsid w:val="0063137C"/>
    <w:rsid w:val="00631555"/>
    <w:rsid w:val="0063500A"/>
    <w:rsid w:val="00640C5D"/>
    <w:rsid w:val="00644658"/>
    <w:rsid w:val="00647750"/>
    <w:rsid w:val="0065091F"/>
    <w:rsid w:val="00651E33"/>
    <w:rsid w:val="006520D6"/>
    <w:rsid w:val="00656434"/>
    <w:rsid w:val="006676B3"/>
    <w:rsid w:val="00672238"/>
    <w:rsid w:val="0067795F"/>
    <w:rsid w:val="00681117"/>
    <w:rsid w:val="00681866"/>
    <w:rsid w:val="00683882"/>
    <w:rsid w:val="006863F7"/>
    <w:rsid w:val="00686A9C"/>
    <w:rsid w:val="00692C48"/>
    <w:rsid w:val="006A3398"/>
    <w:rsid w:val="006B2DCC"/>
    <w:rsid w:val="006B6D6F"/>
    <w:rsid w:val="006C1AD7"/>
    <w:rsid w:val="006C5DB3"/>
    <w:rsid w:val="006C65E6"/>
    <w:rsid w:val="006D25D0"/>
    <w:rsid w:val="006E4B40"/>
    <w:rsid w:val="006F2208"/>
    <w:rsid w:val="006F2C11"/>
    <w:rsid w:val="006F3D66"/>
    <w:rsid w:val="006F50BE"/>
    <w:rsid w:val="00700FE6"/>
    <w:rsid w:val="0070293E"/>
    <w:rsid w:val="00702B7F"/>
    <w:rsid w:val="00707843"/>
    <w:rsid w:val="0071297A"/>
    <w:rsid w:val="00716FB9"/>
    <w:rsid w:val="00721A68"/>
    <w:rsid w:val="00724453"/>
    <w:rsid w:val="00726B88"/>
    <w:rsid w:val="00727002"/>
    <w:rsid w:val="00727E5E"/>
    <w:rsid w:val="007316F5"/>
    <w:rsid w:val="00732145"/>
    <w:rsid w:val="00736B5A"/>
    <w:rsid w:val="00736CE5"/>
    <w:rsid w:val="00767DFF"/>
    <w:rsid w:val="00775B53"/>
    <w:rsid w:val="00776C8C"/>
    <w:rsid w:val="007776FA"/>
    <w:rsid w:val="00780402"/>
    <w:rsid w:val="00790C61"/>
    <w:rsid w:val="007B144C"/>
    <w:rsid w:val="007B1952"/>
    <w:rsid w:val="007B49DB"/>
    <w:rsid w:val="007B6771"/>
    <w:rsid w:val="007B71B8"/>
    <w:rsid w:val="007C1E1A"/>
    <w:rsid w:val="007C3885"/>
    <w:rsid w:val="007C39AE"/>
    <w:rsid w:val="007D2EC0"/>
    <w:rsid w:val="007E219D"/>
    <w:rsid w:val="007E2232"/>
    <w:rsid w:val="007E2873"/>
    <w:rsid w:val="007E3F38"/>
    <w:rsid w:val="007E5354"/>
    <w:rsid w:val="007F1885"/>
    <w:rsid w:val="007F2703"/>
    <w:rsid w:val="007F2F01"/>
    <w:rsid w:val="007F3F62"/>
    <w:rsid w:val="007F4152"/>
    <w:rsid w:val="007F5289"/>
    <w:rsid w:val="007F6A28"/>
    <w:rsid w:val="00810C88"/>
    <w:rsid w:val="00811E92"/>
    <w:rsid w:val="00816929"/>
    <w:rsid w:val="00816C98"/>
    <w:rsid w:val="0082090F"/>
    <w:rsid w:val="008268C9"/>
    <w:rsid w:val="00827C97"/>
    <w:rsid w:val="00832D68"/>
    <w:rsid w:val="00865A9D"/>
    <w:rsid w:val="00870CF0"/>
    <w:rsid w:val="0087588A"/>
    <w:rsid w:val="0088031D"/>
    <w:rsid w:val="00880F0B"/>
    <w:rsid w:val="00882264"/>
    <w:rsid w:val="00884A67"/>
    <w:rsid w:val="008863C2"/>
    <w:rsid w:val="00886B5A"/>
    <w:rsid w:val="00892A5F"/>
    <w:rsid w:val="0089522F"/>
    <w:rsid w:val="00896671"/>
    <w:rsid w:val="0089786B"/>
    <w:rsid w:val="008C4552"/>
    <w:rsid w:val="008C6018"/>
    <w:rsid w:val="008D20ED"/>
    <w:rsid w:val="008D5096"/>
    <w:rsid w:val="008D781B"/>
    <w:rsid w:val="008E05A4"/>
    <w:rsid w:val="008E6F1D"/>
    <w:rsid w:val="008F298D"/>
    <w:rsid w:val="008F4A30"/>
    <w:rsid w:val="00903C69"/>
    <w:rsid w:val="00906085"/>
    <w:rsid w:val="00914D8C"/>
    <w:rsid w:val="00922058"/>
    <w:rsid w:val="009228E5"/>
    <w:rsid w:val="00923B4A"/>
    <w:rsid w:val="00923F43"/>
    <w:rsid w:val="009240D6"/>
    <w:rsid w:val="00940343"/>
    <w:rsid w:val="009423CC"/>
    <w:rsid w:val="009448FC"/>
    <w:rsid w:val="009536D7"/>
    <w:rsid w:val="00960AD9"/>
    <w:rsid w:val="00960B21"/>
    <w:rsid w:val="0096405B"/>
    <w:rsid w:val="009706DD"/>
    <w:rsid w:val="009713F9"/>
    <w:rsid w:val="00977AE5"/>
    <w:rsid w:val="009804C0"/>
    <w:rsid w:val="00981B80"/>
    <w:rsid w:val="00984009"/>
    <w:rsid w:val="00993147"/>
    <w:rsid w:val="009959C8"/>
    <w:rsid w:val="009A00CC"/>
    <w:rsid w:val="009A1B7E"/>
    <w:rsid w:val="009B50CD"/>
    <w:rsid w:val="009B53DA"/>
    <w:rsid w:val="009C0795"/>
    <w:rsid w:val="009D15C5"/>
    <w:rsid w:val="009E5391"/>
    <w:rsid w:val="009E6B39"/>
    <w:rsid w:val="009E7759"/>
    <w:rsid w:val="009F2AB8"/>
    <w:rsid w:val="009F64BB"/>
    <w:rsid w:val="009F74DB"/>
    <w:rsid w:val="00A021DD"/>
    <w:rsid w:val="00A02BBE"/>
    <w:rsid w:val="00A04243"/>
    <w:rsid w:val="00A11EA9"/>
    <w:rsid w:val="00A15A12"/>
    <w:rsid w:val="00A23E51"/>
    <w:rsid w:val="00A31D3E"/>
    <w:rsid w:val="00A32E30"/>
    <w:rsid w:val="00A376C0"/>
    <w:rsid w:val="00A37FE7"/>
    <w:rsid w:val="00A447CD"/>
    <w:rsid w:val="00A502AA"/>
    <w:rsid w:val="00A52A17"/>
    <w:rsid w:val="00A53924"/>
    <w:rsid w:val="00A5525D"/>
    <w:rsid w:val="00A65910"/>
    <w:rsid w:val="00A67671"/>
    <w:rsid w:val="00A770F6"/>
    <w:rsid w:val="00A84818"/>
    <w:rsid w:val="00AA4D12"/>
    <w:rsid w:val="00AB0F90"/>
    <w:rsid w:val="00AB51FA"/>
    <w:rsid w:val="00AB60E8"/>
    <w:rsid w:val="00AB755F"/>
    <w:rsid w:val="00AC111D"/>
    <w:rsid w:val="00AC14F3"/>
    <w:rsid w:val="00AC234C"/>
    <w:rsid w:val="00AC5A9D"/>
    <w:rsid w:val="00AD4B7B"/>
    <w:rsid w:val="00AD5BF7"/>
    <w:rsid w:val="00AD64F1"/>
    <w:rsid w:val="00AE12A4"/>
    <w:rsid w:val="00AE1775"/>
    <w:rsid w:val="00AE58F8"/>
    <w:rsid w:val="00AE6445"/>
    <w:rsid w:val="00AF388F"/>
    <w:rsid w:val="00AF6429"/>
    <w:rsid w:val="00B04396"/>
    <w:rsid w:val="00B06CF7"/>
    <w:rsid w:val="00B14466"/>
    <w:rsid w:val="00B22987"/>
    <w:rsid w:val="00B23B6D"/>
    <w:rsid w:val="00B2476E"/>
    <w:rsid w:val="00B26740"/>
    <w:rsid w:val="00B271FA"/>
    <w:rsid w:val="00B31630"/>
    <w:rsid w:val="00B37BD2"/>
    <w:rsid w:val="00B50EF1"/>
    <w:rsid w:val="00B51DA4"/>
    <w:rsid w:val="00B5486A"/>
    <w:rsid w:val="00B5784A"/>
    <w:rsid w:val="00B61C1F"/>
    <w:rsid w:val="00B655B9"/>
    <w:rsid w:val="00B67670"/>
    <w:rsid w:val="00B71D63"/>
    <w:rsid w:val="00B743AB"/>
    <w:rsid w:val="00B81F91"/>
    <w:rsid w:val="00B82BDE"/>
    <w:rsid w:val="00B9595C"/>
    <w:rsid w:val="00BA7A22"/>
    <w:rsid w:val="00BB0F57"/>
    <w:rsid w:val="00BB7A4C"/>
    <w:rsid w:val="00BC10A7"/>
    <w:rsid w:val="00BC5B8B"/>
    <w:rsid w:val="00BD1326"/>
    <w:rsid w:val="00BD42D4"/>
    <w:rsid w:val="00BE0C2B"/>
    <w:rsid w:val="00BE12D4"/>
    <w:rsid w:val="00BE225C"/>
    <w:rsid w:val="00BE3FBB"/>
    <w:rsid w:val="00BF01B3"/>
    <w:rsid w:val="00BF51A3"/>
    <w:rsid w:val="00BF66E8"/>
    <w:rsid w:val="00C00620"/>
    <w:rsid w:val="00C101B8"/>
    <w:rsid w:val="00C11910"/>
    <w:rsid w:val="00C12948"/>
    <w:rsid w:val="00C247C0"/>
    <w:rsid w:val="00C31C50"/>
    <w:rsid w:val="00C32526"/>
    <w:rsid w:val="00C37495"/>
    <w:rsid w:val="00C44C83"/>
    <w:rsid w:val="00C5371E"/>
    <w:rsid w:val="00C70159"/>
    <w:rsid w:val="00C859AC"/>
    <w:rsid w:val="00CA15EA"/>
    <w:rsid w:val="00CA5D09"/>
    <w:rsid w:val="00CA77AF"/>
    <w:rsid w:val="00CA7C6C"/>
    <w:rsid w:val="00CB28DE"/>
    <w:rsid w:val="00CB39AE"/>
    <w:rsid w:val="00CC1C00"/>
    <w:rsid w:val="00CC2683"/>
    <w:rsid w:val="00CC33FD"/>
    <w:rsid w:val="00CC370F"/>
    <w:rsid w:val="00CC5C8D"/>
    <w:rsid w:val="00CD298B"/>
    <w:rsid w:val="00CF0000"/>
    <w:rsid w:val="00CF0A0B"/>
    <w:rsid w:val="00CF1E5F"/>
    <w:rsid w:val="00D12929"/>
    <w:rsid w:val="00D20867"/>
    <w:rsid w:val="00D2276A"/>
    <w:rsid w:val="00D22A57"/>
    <w:rsid w:val="00D26525"/>
    <w:rsid w:val="00D274B1"/>
    <w:rsid w:val="00D32701"/>
    <w:rsid w:val="00D32AE4"/>
    <w:rsid w:val="00D366A5"/>
    <w:rsid w:val="00D42D24"/>
    <w:rsid w:val="00D446DE"/>
    <w:rsid w:val="00D501B8"/>
    <w:rsid w:val="00D51950"/>
    <w:rsid w:val="00D62733"/>
    <w:rsid w:val="00D62C01"/>
    <w:rsid w:val="00D67FF8"/>
    <w:rsid w:val="00D70470"/>
    <w:rsid w:val="00D709BB"/>
    <w:rsid w:val="00D720E2"/>
    <w:rsid w:val="00D73BB1"/>
    <w:rsid w:val="00D75277"/>
    <w:rsid w:val="00D84F26"/>
    <w:rsid w:val="00D93DB8"/>
    <w:rsid w:val="00D96E35"/>
    <w:rsid w:val="00D9709B"/>
    <w:rsid w:val="00DA0E77"/>
    <w:rsid w:val="00DA2416"/>
    <w:rsid w:val="00DB090A"/>
    <w:rsid w:val="00DB18C6"/>
    <w:rsid w:val="00DB63F4"/>
    <w:rsid w:val="00DC2D30"/>
    <w:rsid w:val="00DD1A83"/>
    <w:rsid w:val="00DD4B6A"/>
    <w:rsid w:val="00DE10CE"/>
    <w:rsid w:val="00DE758A"/>
    <w:rsid w:val="00DF367C"/>
    <w:rsid w:val="00DF3850"/>
    <w:rsid w:val="00DF4F36"/>
    <w:rsid w:val="00E065AA"/>
    <w:rsid w:val="00E06E85"/>
    <w:rsid w:val="00E16720"/>
    <w:rsid w:val="00E17849"/>
    <w:rsid w:val="00E2005C"/>
    <w:rsid w:val="00E20E67"/>
    <w:rsid w:val="00E239AC"/>
    <w:rsid w:val="00E251DB"/>
    <w:rsid w:val="00E30C90"/>
    <w:rsid w:val="00E3374E"/>
    <w:rsid w:val="00E40021"/>
    <w:rsid w:val="00E41386"/>
    <w:rsid w:val="00E4284F"/>
    <w:rsid w:val="00E446DD"/>
    <w:rsid w:val="00E44EBA"/>
    <w:rsid w:val="00E5512A"/>
    <w:rsid w:val="00E603F2"/>
    <w:rsid w:val="00E637BB"/>
    <w:rsid w:val="00E67E2E"/>
    <w:rsid w:val="00E81FBD"/>
    <w:rsid w:val="00E830DD"/>
    <w:rsid w:val="00E86F6C"/>
    <w:rsid w:val="00E87005"/>
    <w:rsid w:val="00E916C7"/>
    <w:rsid w:val="00E923C5"/>
    <w:rsid w:val="00E934CB"/>
    <w:rsid w:val="00E948D4"/>
    <w:rsid w:val="00EA5B46"/>
    <w:rsid w:val="00EB305F"/>
    <w:rsid w:val="00EB3C85"/>
    <w:rsid w:val="00EB77C3"/>
    <w:rsid w:val="00EC4BFD"/>
    <w:rsid w:val="00EC68B7"/>
    <w:rsid w:val="00ED03F6"/>
    <w:rsid w:val="00ED354D"/>
    <w:rsid w:val="00EE0696"/>
    <w:rsid w:val="00EE1CAC"/>
    <w:rsid w:val="00EE2A3A"/>
    <w:rsid w:val="00EE3981"/>
    <w:rsid w:val="00EE5B5A"/>
    <w:rsid w:val="00F01F8D"/>
    <w:rsid w:val="00F022E5"/>
    <w:rsid w:val="00F03634"/>
    <w:rsid w:val="00F04FDC"/>
    <w:rsid w:val="00F07924"/>
    <w:rsid w:val="00F2230D"/>
    <w:rsid w:val="00F25393"/>
    <w:rsid w:val="00F26EAC"/>
    <w:rsid w:val="00F32D9B"/>
    <w:rsid w:val="00F353B1"/>
    <w:rsid w:val="00F40195"/>
    <w:rsid w:val="00F41D8B"/>
    <w:rsid w:val="00F42ED9"/>
    <w:rsid w:val="00F46C01"/>
    <w:rsid w:val="00F47F0C"/>
    <w:rsid w:val="00F50DD1"/>
    <w:rsid w:val="00F53EF3"/>
    <w:rsid w:val="00F558D8"/>
    <w:rsid w:val="00F63972"/>
    <w:rsid w:val="00F676CF"/>
    <w:rsid w:val="00F720F0"/>
    <w:rsid w:val="00F73194"/>
    <w:rsid w:val="00F7333F"/>
    <w:rsid w:val="00F84C31"/>
    <w:rsid w:val="00F85EE7"/>
    <w:rsid w:val="00F87C4A"/>
    <w:rsid w:val="00F93132"/>
    <w:rsid w:val="00F9610F"/>
    <w:rsid w:val="00FB0589"/>
    <w:rsid w:val="00FB12E1"/>
    <w:rsid w:val="00FB2A09"/>
    <w:rsid w:val="00FB489C"/>
    <w:rsid w:val="00FB5306"/>
    <w:rsid w:val="00FB5454"/>
    <w:rsid w:val="00FC01CF"/>
    <w:rsid w:val="00FC644D"/>
    <w:rsid w:val="00FD03CF"/>
    <w:rsid w:val="00FD511A"/>
    <w:rsid w:val="00FD5D12"/>
    <w:rsid w:val="00FE2DF7"/>
    <w:rsid w:val="00FE6BA2"/>
    <w:rsid w:val="01B00F22"/>
    <w:rsid w:val="02D4213D"/>
    <w:rsid w:val="042F253D"/>
    <w:rsid w:val="043C384C"/>
    <w:rsid w:val="04802415"/>
    <w:rsid w:val="05FF332C"/>
    <w:rsid w:val="07A45A81"/>
    <w:rsid w:val="07F04CA7"/>
    <w:rsid w:val="07F33F5F"/>
    <w:rsid w:val="08941723"/>
    <w:rsid w:val="094E2868"/>
    <w:rsid w:val="0AC232E1"/>
    <w:rsid w:val="0CA25F4A"/>
    <w:rsid w:val="0DD12ABF"/>
    <w:rsid w:val="0DDA0EA2"/>
    <w:rsid w:val="0F550606"/>
    <w:rsid w:val="12054F45"/>
    <w:rsid w:val="15BE1AA4"/>
    <w:rsid w:val="162D671E"/>
    <w:rsid w:val="16F277D6"/>
    <w:rsid w:val="17FB34D1"/>
    <w:rsid w:val="18D42158"/>
    <w:rsid w:val="192C52C7"/>
    <w:rsid w:val="19420D96"/>
    <w:rsid w:val="1A1E6432"/>
    <w:rsid w:val="1ABC38DC"/>
    <w:rsid w:val="1BA86591"/>
    <w:rsid w:val="1C165F80"/>
    <w:rsid w:val="1D173AA9"/>
    <w:rsid w:val="1E871AF1"/>
    <w:rsid w:val="1EF706AA"/>
    <w:rsid w:val="1F577B76"/>
    <w:rsid w:val="20ED2885"/>
    <w:rsid w:val="22860F3A"/>
    <w:rsid w:val="23A974A1"/>
    <w:rsid w:val="25960859"/>
    <w:rsid w:val="27BD47E9"/>
    <w:rsid w:val="27E37DF9"/>
    <w:rsid w:val="296C4157"/>
    <w:rsid w:val="2C126ECC"/>
    <w:rsid w:val="2C427833"/>
    <w:rsid w:val="2D446828"/>
    <w:rsid w:val="2DB46985"/>
    <w:rsid w:val="2E2449D7"/>
    <w:rsid w:val="2F0F1DFB"/>
    <w:rsid w:val="304A3A1E"/>
    <w:rsid w:val="30B53331"/>
    <w:rsid w:val="33334016"/>
    <w:rsid w:val="348D1920"/>
    <w:rsid w:val="35AB7F1B"/>
    <w:rsid w:val="37161E04"/>
    <w:rsid w:val="38054824"/>
    <w:rsid w:val="3A7B51B0"/>
    <w:rsid w:val="3BC74D09"/>
    <w:rsid w:val="3D75689A"/>
    <w:rsid w:val="3E332B06"/>
    <w:rsid w:val="40A27258"/>
    <w:rsid w:val="41BB6BF8"/>
    <w:rsid w:val="42391520"/>
    <w:rsid w:val="423B747C"/>
    <w:rsid w:val="42563CD9"/>
    <w:rsid w:val="4336554B"/>
    <w:rsid w:val="44EB7EF6"/>
    <w:rsid w:val="45524ECF"/>
    <w:rsid w:val="48B817B6"/>
    <w:rsid w:val="493500CC"/>
    <w:rsid w:val="494905CA"/>
    <w:rsid w:val="49FA3F69"/>
    <w:rsid w:val="4CCB6091"/>
    <w:rsid w:val="4EED1B44"/>
    <w:rsid w:val="51E4119E"/>
    <w:rsid w:val="52394245"/>
    <w:rsid w:val="527D3F32"/>
    <w:rsid w:val="576A7161"/>
    <w:rsid w:val="5781172C"/>
    <w:rsid w:val="57B45D76"/>
    <w:rsid w:val="57BD6C30"/>
    <w:rsid w:val="57FC6386"/>
    <w:rsid w:val="59C22BB5"/>
    <w:rsid w:val="5ACA03F7"/>
    <w:rsid w:val="5D146FE6"/>
    <w:rsid w:val="5DFF1CAB"/>
    <w:rsid w:val="5E6D7F5B"/>
    <w:rsid w:val="5F1816BA"/>
    <w:rsid w:val="5F673070"/>
    <w:rsid w:val="61432F96"/>
    <w:rsid w:val="633B3BCF"/>
    <w:rsid w:val="63803951"/>
    <w:rsid w:val="64772229"/>
    <w:rsid w:val="669F5AAD"/>
    <w:rsid w:val="66BD42C9"/>
    <w:rsid w:val="6880473D"/>
    <w:rsid w:val="69A03A8B"/>
    <w:rsid w:val="69F63088"/>
    <w:rsid w:val="6A571298"/>
    <w:rsid w:val="6AB73D99"/>
    <w:rsid w:val="6B943F12"/>
    <w:rsid w:val="6BBC3DFE"/>
    <w:rsid w:val="6C125B00"/>
    <w:rsid w:val="6CAA4935"/>
    <w:rsid w:val="6D206F3F"/>
    <w:rsid w:val="6E376BBB"/>
    <w:rsid w:val="6F135B54"/>
    <w:rsid w:val="6F6F13C5"/>
    <w:rsid w:val="708A53F5"/>
    <w:rsid w:val="71446E1E"/>
    <w:rsid w:val="717366D7"/>
    <w:rsid w:val="720B18DD"/>
    <w:rsid w:val="73722ECF"/>
    <w:rsid w:val="74E8604B"/>
    <w:rsid w:val="75133436"/>
    <w:rsid w:val="75A06908"/>
    <w:rsid w:val="76DD5779"/>
    <w:rsid w:val="787D0478"/>
    <w:rsid w:val="7B851D1D"/>
    <w:rsid w:val="7BCB30E6"/>
    <w:rsid w:val="7C290145"/>
    <w:rsid w:val="7C3B3F71"/>
    <w:rsid w:val="7E5C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333333"/>
      <w:u w:val="none"/>
    </w:rPr>
  </w:style>
  <w:style w:type="character" w:styleId="aa">
    <w:name w:val="Hyperlink"/>
    <w:basedOn w:val="a0"/>
    <w:uiPriority w:val="99"/>
    <w:semiHidden/>
    <w:unhideWhenUsed/>
    <w:qFormat/>
    <w:rPr>
      <w:color w:val="333333"/>
      <w:u w:val="none"/>
    </w:rPr>
  </w:style>
  <w:style w:type="character" w:styleId="ab">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newstitle">
    <w:name w:val="news_title"/>
    <w:basedOn w:val="a0"/>
    <w:qFormat/>
  </w:style>
  <w:style w:type="character" w:customStyle="1" w:styleId="newstitle1">
    <w:name w:val="news_title1"/>
    <w:basedOn w:val="a0"/>
    <w:qFormat/>
  </w:style>
  <w:style w:type="character" w:customStyle="1" w:styleId="newsmeta">
    <w:name w:val="news_meta"/>
    <w:basedOn w:val="a0"/>
    <w:qFormat/>
    <w:rPr>
      <w:color w:val="FFFFFF"/>
      <w:shd w:val="clear" w:color="auto" w:fill="A9B152"/>
    </w:rPr>
  </w:style>
  <w:style w:type="character" w:customStyle="1" w:styleId="newsmeta1">
    <w:name w:val="news_meta1"/>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pd">
    <w:name w:val="pd"/>
    <w:basedOn w:val="a0"/>
    <w:qFormat/>
  </w:style>
  <w:style w:type="character" w:customStyle="1" w:styleId="column-name12">
    <w:name w:val="column-name12"/>
    <w:basedOn w:val="a0"/>
    <w:qFormat/>
    <w:rPr>
      <w:color w:val="99212A"/>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333333"/>
      <w:u w:val="none"/>
    </w:rPr>
  </w:style>
  <w:style w:type="character" w:styleId="aa">
    <w:name w:val="Hyperlink"/>
    <w:basedOn w:val="a0"/>
    <w:uiPriority w:val="99"/>
    <w:semiHidden/>
    <w:unhideWhenUsed/>
    <w:qFormat/>
    <w:rPr>
      <w:color w:val="333333"/>
      <w:u w:val="none"/>
    </w:rPr>
  </w:style>
  <w:style w:type="character" w:styleId="ab">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newstitle">
    <w:name w:val="news_title"/>
    <w:basedOn w:val="a0"/>
    <w:qFormat/>
  </w:style>
  <w:style w:type="character" w:customStyle="1" w:styleId="newstitle1">
    <w:name w:val="news_title1"/>
    <w:basedOn w:val="a0"/>
    <w:qFormat/>
  </w:style>
  <w:style w:type="character" w:customStyle="1" w:styleId="newsmeta">
    <w:name w:val="news_meta"/>
    <w:basedOn w:val="a0"/>
    <w:qFormat/>
    <w:rPr>
      <w:color w:val="FFFFFF"/>
      <w:shd w:val="clear" w:color="auto" w:fill="A9B152"/>
    </w:rPr>
  </w:style>
  <w:style w:type="character" w:customStyle="1" w:styleId="newsmeta1">
    <w:name w:val="news_meta1"/>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pd">
    <w:name w:val="pd"/>
    <w:basedOn w:val="a0"/>
    <w:qFormat/>
  </w:style>
  <w:style w:type="character" w:customStyle="1" w:styleId="column-name12">
    <w:name w:val="column-name12"/>
    <w:basedOn w:val="a0"/>
    <w:qFormat/>
    <w:rPr>
      <w:color w:val="99212A"/>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8BF4E-8FBB-4787-BE00-BBE21717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xb21cn</cp:lastModifiedBy>
  <cp:revision>2</cp:revision>
  <cp:lastPrinted>2021-09-22T01:30:00Z</cp:lastPrinted>
  <dcterms:created xsi:type="dcterms:W3CDTF">2022-05-12T04:08:00Z</dcterms:created>
  <dcterms:modified xsi:type="dcterms:W3CDTF">2022-05-12T04:08:00Z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15BFD774C87140E6A4978933636DDC59</vt:lpwstr>
  </property>
</Properties>
</file>