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E104" w14:textId="33B38F73" w:rsidR="00125FFE" w:rsidRPr="004C41E1" w:rsidRDefault="00A20C9C">
      <w:pPr>
        <w:jc w:val="center"/>
        <w:rPr>
          <w:rFonts w:ascii="宋体" w:hAnsi="宋体"/>
          <w:b/>
          <w:bCs/>
          <w:sz w:val="32"/>
          <w:szCs w:val="32"/>
        </w:rPr>
      </w:pPr>
      <w:r w:rsidRPr="004C41E1">
        <w:rPr>
          <w:rFonts w:ascii="宋体" w:hAnsi="宋体" w:hint="eastAsia"/>
          <w:b/>
          <w:bCs/>
          <w:sz w:val="32"/>
          <w:szCs w:val="32"/>
        </w:rPr>
        <w:t>2022年秋季学期证券投资理论与实务期末复习意见</w:t>
      </w:r>
    </w:p>
    <w:p w14:paraId="53B84807" w14:textId="77777777" w:rsidR="00125FFE" w:rsidRDefault="00125FFE">
      <w:pPr>
        <w:jc w:val="center"/>
        <w:rPr>
          <w:b/>
          <w:szCs w:val="21"/>
        </w:rPr>
      </w:pPr>
    </w:p>
    <w:p w14:paraId="5FB00D68" w14:textId="77777777" w:rsidR="00125FFE" w:rsidRPr="004C41E1" w:rsidRDefault="00000000" w:rsidP="004C41E1">
      <w:pPr>
        <w:adjustRightInd w:val="0"/>
        <w:snapToGrid w:val="0"/>
        <w:spacing w:line="360" w:lineRule="auto"/>
        <w:ind w:firstLineChars="196" w:firstLine="472"/>
        <w:rPr>
          <w:rFonts w:ascii="宋体" w:hAnsi="宋体"/>
          <w:b/>
          <w:sz w:val="24"/>
        </w:rPr>
      </w:pPr>
      <w:r w:rsidRPr="004C41E1">
        <w:rPr>
          <w:rFonts w:ascii="宋体" w:hAnsi="宋体" w:hint="eastAsia"/>
          <w:b/>
          <w:sz w:val="24"/>
        </w:rPr>
        <w:t>一、考试方式、时限及依据</w:t>
      </w:r>
    </w:p>
    <w:p w14:paraId="7FFF38F3" w14:textId="77777777" w:rsidR="00125FFE" w:rsidRPr="004C41E1" w:rsidRDefault="00000000" w:rsidP="004C41E1">
      <w:pPr>
        <w:adjustRightInd w:val="0"/>
        <w:snapToGrid w:val="0"/>
        <w:spacing w:line="360" w:lineRule="auto"/>
        <w:ind w:firstLineChars="200" w:firstLine="480"/>
        <w:rPr>
          <w:rFonts w:ascii="宋体" w:hAnsi="宋体"/>
          <w:sz w:val="24"/>
        </w:rPr>
      </w:pPr>
      <w:r w:rsidRPr="004C41E1">
        <w:rPr>
          <w:rFonts w:ascii="宋体" w:hAnsi="宋体" w:hint="eastAsia"/>
          <w:sz w:val="24"/>
        </w:rPr>
        <w:t>本课程期末考试采用开卷方式。时间长度是90分钟。考试主要以文字教材为依据。</w:t>
      </w:r>
    </w:p>
    <w:p w14:paraId="7D38D13D" w14:textId="77777777" w:rsidR="00125FFE" w:rsidRPr="004C41E1" w:rsidRDefault="00125FFE" w:rsidP="004C41E1">
      <w:pPr>
        <w:adjustRightInd w:val="0"/>
        <w:snapToGrid w:val="0"/>
        <w:spacing w:line="360" w:lineRule="auto"/>
        <w:ind w:firstLineChars="200" w:firstLine="480"/>
        <w:rPr>
          <w:rFonts w:ascii="宋体" w:hAnsi="宋体"/>
          <w:sz w:val="24"/>
        </w:rPr>
      </w:pPr>
    </w:p>
    <w:p w14:paraId="07C000E2" w14:textId="77777777" w:rsidR="00125FFE" w:rsidRPr="004C41E1" w:rsidRDefault="00000000" w:rsidP="004C41E1">
      <w:pPr>
        <w:adjustRightInd w:val="0"/>
        <w:snapToGrid w:val="0"/>
        <w:spacing w:line="360" w:lineRule="auto"/>
        <w:ind w:firstLineChars="196" w:firstLine="472"/>
        <w:rPr>
          <w:rFonts w:ascii="宋体" w:hAnsi="宋体"/>
          <w:b/>
          <w:sz w:val="24"/>
        </w:rPr>
      </w:pPr>
      <w:r w:rsidRPr="004C41E1">
        <w:rPr>
          <w:rFonts w:ascii="宋体" w:hAnsi="宋体" w:hint="eastAsia"/>
          <w:b/>
          <w:sz w:val="24"/>
        </w:rPr>
        <w:t>二、考试题型及答题要求</w:t>
      </w:r>
    </w:p>
    <w:p w14:paraId="6BEE8AFB" w14:textId="77777777" w:rsidR="00125FFE" w:rsidRPr="004C41E1" w:rsidRDefault="00000000" w:rsidP="004C41E1">
      <w:pPr>
        <w:spacing w:line="360" w:lineRule="auto"/>
        <w:ind w:firstLineChars="200" w:firstLine="480"/>
        <w:rPr>
          <w:rFonts w:ascii="宋体" w:hAnsi="宋体" w:cstheme="minorBidi"/>
          <w:sz w:val="24"/>
        </w:rPr>
      </w:pPr>
      <w:r w:rsidRPr="004C41E1">
        <w:rPr>
          <w:rFonts w:ascii="宋体" w:hAnsi="宋体" w:cstheme="minorBidi" w:hint="eastAsia"/>
          <w:sz w:val="24"/>
        </w:rPr>
        <w:t>本课程期末考试满分为100分，题型由四部分组成，主要包括：</w:t>
      </w:r>
    </w:p>
    <w:p w14:paraId="3956B7D2" w14:textId="77777777" w:rsidR="00125FFE" w:rsidRPr="004C41E1" w:rsidRDefault="00000000" w:rsidP="004C41E1">
      <w:pPr>
        <w:spacing w:line="360" w:lineRule="auto"/>
        <w:ind w:firstLineChars="200" w:firstLine="480"/>
        <w:rPr>
          <w:rFonts w:ascii="宋体" w:hAnsi="宋体" w:cstheme="minorBidi"/>
          <w:sz w:val="24"/>
        </w:rPr>
      </w:pPr>
      <w:r w:rsidRPr="004C41E1">
        <w:rPr>
          <w:rFonts w:ascii="宋体" w:hAnsi="宋体" w:cstheme="minorBidi" w:hint="eastAsia"/>
          <w:sz w:val="24"/>
        </w:rPr>
        <w:t>1. 单选题：共10题，每题3分，共30分。</w:t>
      </w:r>
    </w:p>
    <w:p w14:paraId="4ED6B7D9" w14:textId="77777777" w:rsidR="00125FFE" w:rsidRPr="004C41E1" w:rsidRDefault="00000000" w:rsidP="004C41E1">
      <w:pPr>
        <w:spacing w:line="360" w:lineRule="auto"/>
        <w:ind w:firstLineChars="200" w:firstLine="480"/>
        <w:rPr>
          <w:rFonts w:ascii="宋体" w:hAnsi="宋体" w:cstheme="minorBidi"/>
          <w:sz w:val="24"/>
        </w:rPr>
      </w:pPr>
      <w:r w:rsidRPr="004C41E1">
        <w:rPr>
          <w:rFonts w:ascii="宋体" w:hAnsi="宋体" w:cstheme="minorBidi" w:hint="eastAsia"/>
          <w:sz w:val="24"/>
        </w:rPr>
        <w:t>2. 多选题：共5题，每题6分，共30分</w:t>
      </w:r>
    </w:p>
    <w:p w14:paraId="1E57E164" w14:textId="77777777" w:rsidR="00125FFE" w:rsidRPr="004C41E1" w:rsidRDefault="00000000" w:rsidP="004C41E1">
      <w:pPr>
        <w:spacing w:line="360" w:lineRule="auto"/>
        <w:ind w:firstLineChars="200" w:firstLine="480"/>
        <w:rPr>
          <w:rFonts w:ascii="宋体" w:hAnsi="宋体" w:cstheme="minorBidi"/>
          <w:sz w:val="24"/>
        </w:rPr>
      </w:pPr>
      <w:r w:rsidRPr="004C41E1">
        <w:rPr>
          <w:rFonts w:ascii="宋体" w:hAnsi="宋体" w:cstheme="minorBidi" w:hint="eastAsia"/>
          <w:sz w:val="24"/>
        </w:rPr>
        <w:t>3. 判断题；共10题，每题2分，共20分</w:t>
      </w:r>
    </w:p>
    <w:p w14:paraId="2C6E7FD6" w14:textId="77777777" w:rsidR="00125FFE" w:rsidRPr="004C41E1" w:rsidRDefault="00000000" w:rsidP="004C41E1">
      <w:pPr>
        <w:spacing w:line="360" w:lineRule="auto"/>
        <w:ind w:firstLineChars="200" w:firstLine="480"/>
        <w:rPr>
          <w:rFonts w:ascii="宋体" w:hAnsi="宋体" w:cstheme="minorBidi"/>
          <w:sz w:val="24"/>
        </w:rPr>
      </w:pPr>
      <w:r w:rsidRPr="004C41E1">
        <w:rPr>
          <w:rFonts w:ascii="宋体" w:hAnsi="宋体" w:cstheme="minorBidi" w:hint="eastAsia"/>
          <w:sz w:val="24"/>
        </w:rPr>
        <w:t>4. 计算题：共1大题，共20分</w:t>
      </w:r>
    </w:p>
    <w:p w14:paraId="262B0BA9" w14:textId="77777777" w:rsidR="00125FFE" w:rsidRPr="004C41E1" w:rsidRDefault="00125FFE" w:rsidP="004C41E1">
      <w:pPr>
        <w:spacing w:line="360" w:lineRule="auto"/>
        <w:ind w:firstLineChars="200" w:firstLine="480"/>
        <w:rPr>
          <w:rFonts w:ascii="宋体" w:hAnsi="宋体" w:cstheme="minorBidi"/>
          <w:sz w:val="24"/>
        </w:rPr>
      </w:pPr>
    </w:p>
    <w:p w14:paraId="5C6B20D8" w14:textId="77777777" w:rsidR="00125FFE" w:rsidRPr="004C41E1" w:rsidRDefault="00000000" w:rsidP="004C41E1">
      <w:pPr>
        <w:adjustRightInd w:val="0"/>
        <w:snapToGrid w:val="0"/>
        <w:spacing w:line="360" w:lineRule="auto"/>
        <w:ind w:firstLineChars="200" w:firstLine="482"/>
        <w:rPr>
          <w:rFonts w:ascii="宋体" w:hAnsi="宋体"/>
          <w:b/>
          <w:sz w:val="24"/>
        </w:rPr>
      </w:pPr>
      <w:r w:rsidRPr="004C41E1">
        <w:rPr>
          <w:rFonts w:ascii="宋体" w:hAnsi="宋体" w:hint="eastAsia"/>
          <w:b/>
          <w:sz w:val="24"/>
        </w:rPr>
        <w:t>三、本课程复习重点及难点知识点</w:t>
      </w:r>
    </w:p>
    <w:p w14:paraId="14D7DF21" w14:textId="77777777" w:rsidR="00125FFE" w:rsidRPr="004C41E1" w:rsidRDefault="00000000" w:rsidP="004C41E1">
      <w:pPr>
        <w:spacing w:line="360" w:lineRule="auto"/>
        <w:ind w:firstLineChars="200" w:firstLine="482"/>
        <w:rPr>
          <w:rFonts w:ascii="宋体" w:hAnsi="宋体" w:cstheme="minorBidi"/>
          <w:b/>
          <w:bCs/>
          <w:sz w:val="24"/>
        </w:rPr>
      </w:pPr>
      <w:r w:rsidRPr="004C41E1">
        <w:rPr>
          <w:rFonts w:ascii="宋体" w:hAnsi="宋体" w:cstheme="minorBidi" w:hint="eastAsia"/>
          <w:b/>
          <w:bCs/>
          <w:sz w:val="24"/>
        </w:rPr>
        <w:t>（一）证券</w:t>
      </w:r>
    </w:p>
    <w:p w14:paraId="3897B49A" w14:textId="77777777" w:rsidR="00125FFE" w:rsidRPr="004C41E1" w:rsidRDefault="00000000" w:rsidP="004C41E1">
      <w:pPr>
        <w:spacing w:line="360" w:lineRule="auto"/>
        <w:ind w:firstLineChars="200" w:firstLine="482"/>
        <w:rPr>
          <w:rFonts w:ascii="宋体" w:hAnsi="宋体" w:cstheme="minorBidi"/>
          <w:b/>
          <w:bCs/>
          <w:sz w:val="24"/>
        </w:rPr>
      </w:pPr>
      <w:r w:rsidRPr="004C41E1">
        <w:rPr>
          <w:rFonts w:ascii="宋体" w:hAnsi="宋体" w:cstheme="minorBidi" w:hint="eastAsia"/>
          <w:b/>
          <w:bCs/>
          <w:sz w:val="24"/>
        </w:rPr>
        <w:t>1.证券的性质</w:t>
      </w:r>
    </w:p>
    <w:p w14:paraId="2EF859F4"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证券是各类财产所有权或债权凭证的通称，是用来证明证券持有人有权依票面所载内容，取得相关权益的凭证。</w:t>
      </w:r>
    </w:p>
    <w:p w14:paraId="089FAF99" w14:textId="77777777" w:rsidR="00125FFE" w:rsidRPr="004C41E1" w:rsidRDefault="00000000" w:rsidP="004C41E1">
      <w:pPr>
        <w:pStyle w:val="a3"/>
        <w:snapToGrid w:val="0"/>
        <w:spacing w:line="360" w:lineRule="auto"/>
        <w:ind w:firstLine="420"/>
        <w:rPr>
          <w:rFonts w:hAnsi="宋体"/>
          <w:bCs/>
          <w:sz w:val="24"/>
          <w:szCs w:val="24"/>
        </w:rPr>
      </w:pPr>
      <w:r w:rsidRPr="004C41E1">
        <w:rPr>
          <w:rFonts w:hAnsi="宋体" w:hint="eastAsia"/>
          <w:bCs/>
          <w:sz w:val="24"/>
          <w:szCs w:val="24"/>
        </w:rPr>
        <w:t>按其性质的不同，可以将证券分为证据证券、凭证证券以及有价证券。</w:t>
      </w:r>
    </w:p>
    <w:p w14:paraId="71203EC5" w14:textId="77777777" w:rsidR="00125FFE" w:rsidRPr="004C41E1" w:rsidRDefault="00000000" w:rsidP="004C41E1">
      <w:pPr>
        <w:pStyle w:val="a3"/>
        <w:snapToGrid w:val="0"/>
        <w:spacing w:line="360" w:lineRule="auto"/>
        <w:rPr>
          <w:rFonts w:hAnsi="宋体"/>
          <w:bCs/>
          <w:sz w:val="24"/>
          <w:szCs w:val="24"/>
        </w:rPr>
      </w:pPr>
      <w:r w:rsidRPr="004C41E1">
        <w:rPr>
          <w:rFonts w:hAnsi="宋体" w:hint="eastAsia"/>
          <w:bCs/>
          <w:sz w:val="24"/>
          <w:szCs w:val="24"/>
        </w:rPr>
        <w:t xml:space="preserve">    （1）证据证券：</w:t>
      </w:r>
      <w:r w:rsidRPr="004C41E1">
        <w:rPr>
          <w:rFonts w:hAnsi="宋体" w:hint="eastAsia"/>
          <w:bCs/>
          <w:color w:val="000000" w:themeColor="text1"/>
          <w:sz w:val="24"/>
          <w:szCs w:val="24"/>
        </w:rPr>
        <w:t>是指只是单纯地证明事实的文件，</w:t>
      </w:r>
      <w:r w:rsidRPr="004C41E1">
        <w:rPr>
          <w:rFonts w:hAnsi="宋体" w:hint="eastAsia"/>
          <w:bCs/>
          <w:sz w:val="24"/>
          <w:szCs w:val="24"/>
        </w:rPr>
        <w:t>主要有信用证、证据(书面证明)等</w:t>
      </w:r>
    </w:p>
    <w:p w14:paraId="7D1502A0" w14:textId="77777777" w:rsidR="00125FFE" w:rsidRPr="004C41E1" w:rsidRDefault="00000000" w:rsidP="004C41E1">
      <w:pPr>
        <w:pStyle w:val="a3"/>
        <w:snapToGrid w:val="0"/>
        <w:spacing w:line="360" w:lineRule="auto"/>
        <w:ind w:firstLine="420"/>
        <w:rPr>
          <w:rFonts w:hAnsi="宋体"/>
          <w:bCs/>
          <w:sz w:val="24"/>
          <w:szCs w:val="24"/>
        </w:rPr>
      </w:pPr>
      <w:r w:rsidRPr="004C41E1">
        <w:rPr>
          <w:rFonts w:hAnsi="宋体" w:hint="eastAsia"/>
          <w:bCs/>
          <w:sz w:val="24"/>
          <w:szCs w:val="24"/>
        </w:rPr>
        <w:t>（2）凭证证券：是</w:t>
      </w:r>
      <w:proofErr w:type="gramStart"/>
      <w:r w:rsidRPr="004C41E1">
        <w:rPr>
          <w:rFonts w:hAnsi="宋体" w:hint="eastAsia"/>
          <w:bCs/>
          <w:sz w:val="24"/>
          <w:szCs w:val="24"/>
        </w:rPr>
        <w:t>指认定</w:t>
      </w:r>
      <w:proofErr w:type="gramEnd"/>
      <w:r w:rsidRPr="004C41E1">
        <w:rPr>
          <w:rFonts w:hAnsi="宋体" w:hint="eastAsia"/>
          <w:bCs/>
          <w:sz w:val="24"/>
          <w:szCs w:val="24"/>
        </w:rPr>
        <w:t>持证人是某种私权的合法权利者，证明持证人所履行的义务有效的文件。如存款单、借据、收据及定期存款存折等就属于这一类。</w:t>
      </w:r>
    </w:p>
    <w:p w14:paraId="2A12A618" w14:textId="77777777" w:rsidR="00125FFE" w:rsidRPr="004C41E1" w:rsidRDefault="00000000" w:rsidP="004C41E1">
      <w:pPr>
        <w:spacing w:line="360" w:lineRule="auto"/>
        <w:ind w:firstLine="420"/>
        <w:rPr>
          <w:rFonts w:ascii="宋体" w:hAnsi="宋体"/>
          <w:bCs/>
          <w:sz w:val="24"/>
        </w:rPr>
      </w:pPr>
      <w:r w:rsidRPr="004C41E1">
        <w:rPr>
          <w:rFonts w:ascii="宋体" w:hAnsi="宋体" w:hint="eastAsia"/>
          <w:bCs/>
          <w:sz w:val="24"/>
        </w:rPr>
        <w:t>（3）</w:t>
      </w:r>
      <w:r w:rsidRPr="004C41E1">
        <w:rPr>
          <w:rFonts w:ascii="宋体" w:hAnsi="宋体" w:hint="eastAsia"/>
          <w:b/>
          <w:sz w:val="24"/>
        </w:rPr>
        <w:t>有价证券：</w:t>
      </w:r>
      <w:r w:rsidRPr="004C41E1">
        <w:rPr>
          <w:rFonts w:ascii="宋体" w:hAnsi="宋体" w:hint="eastAsia"/>
          <w:bCs/>
          <w:sz w:val="24"/>
        </w:rPr>
        <w:t>是一种具有一定票面金额，证明持券人有权按期取得一定收入，并可自由转让和买卖的所有权或债权证书。如股票和债券。</w:t>
      </w:r>
    </w:p>
    <w:p w14:paraId="287AA4D6"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有价证券是虚拟资本的一种形式，本身无价值，但有价格，投资者可随时根据这个价格进行转让。</w:t>
      </w:r>
    </w:p>
    <w:p w14:paraId="04126F7A"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资金的融通一般有直接融资与间接融资两种。证券投资是直接投资的重要形式、是筹措资金的重要手段。证券投资属于风险投资，风险和收益间呈现出一种正相关关系。证券市场中的所有投资者都可以分为多方和空方两种。</w:t>
      </w:r>
    </w:p>
    <w:p w14:paraId="524B449B" w14:textId="77777777" w:rsidR="00125FFE" w:rsidRPr="004C41E1" w:rsidRDefault="00125FFE" w:rsidP="004C41E1">
      <w:pPr>
        <w:snapToGrid w:val="0"/>
        <w:spacing w:line="360" w:lineRule="auto"/>
        <w:ind w:firstLineChars="100" w:firstLine="241"/>
        <w:rPr>
          <w:rFonts w:ascii="宋体" w:hAnsi="宋体"/>
          <w:b/>
          <w:sz w:val="24"/>
        </w:rPr>
      </w:pPr>
    </w:p>
    <w:p w14:paraId="2C93CB5F" w14:textId="77777777" w:rsidR="00125FFE" w:rsidRPr="004C41E1" w:rsidRDefault="00000000" w:rsidP="004C41E1">
      <w:pPr>
        <w:snapToGrid w:val="0"/>
        <w:spacing w:line="360" w:lineRule="auto"/>
        <w:ind w:firstLineChars="149" w:firstLine="359"/>
        <w:rPr>
          <w:rFonts w:ascii="宋体" w:hAnsi="宋体"/>
          <w:b/>
          <w:sz w:val="24"/>
        </w:rPr>
      </w:pPr>
      <w:r w:rsidRPr="004C41E1">
        <w:rPr>
          <w:rFonts w:ascii="宋体" w:hAnsi="宋体" w:hint="eastAsia"/>
          <w:b/>
          <w:sz w:val="24"/>
        </w:rPr>
        <w:t>（二）股票</w:t>
      </w:r>
    </w:p>
    <w:p w14:paraId="3CEDC5EB" w14:textId="77777777" w:rsidR="00125FFE" w:rsidRPr="004C41E1" w:rsidRDefault="00000000" w:rsidP="004C41E1">
      <w:pPr>
        <w:snapToGrid w:val="0"/>
        <w:spacing w:line="360" w:lineRule="auto"/>
        <w:ind w:firstLine="435"/>
        <w:rPr>
          <w:rFonts w:ascii="宋体" w:hAnsi="宋体"/>
          <w:bCs/>
          <w:sz w:val="24"/>
        </w:rPr>
      </w:pPr>
      <w:r w:rsidRPr="004C41E1">
        <w:rPr>
          <w:rFonts w:ascii="宋体" w:hAnsi="宋体" w:hint="eastAsia"/>
          <w:bCs/>
          <w:sz w:val="24"/>
        </w:rPr>
        <w:t>股票是一种有价证券，它是股份有限公司公开发行的用以证明投资者的股东身份和权益，并据以获得股息和红利的凭证。股票具有无偿还期限的特性。</w:t>
      </w:r>
    </w:p>
    <w:p w14:paraId="08CE8A03" w14:textId="77777777" w:rsidR="00125FFE" w:rsidRPr="004C41E1" w:rsidRDefault="00000000" w:rsidP="004C41E1">
      <w:pPr>
        <w:snapToGrid w:val="0"/>
        <w:spacing w:line="360" w:lineRule="auto"/>
        <w:rPr>
          <w:rFonts w:ascii="宋体" w:hAnsi="宋体"/>
          <w:b/>
          <w:sz w:val="24"/>
        </w:rPr>
      </w:pPr>
      <w:r w:rsidRPr="004C41E1">
        <w:rPr>
          <w:rFonts w:ascii="宋体" w:hAnsi="宋体" w:hint="eastAsia"/>
          <w:b/>
          <w:sz w:val="24"/>
        </w:rPr>
        <w:t xml:space="preserve">   1. 股票的特征</w:t>
      </w:r>
    </w:p>
    <w:p w14:paraId="76914D0F" w14:textId="77777777" w:rsidR="00125FFE" w:rsidRPr="004C41E1" w:rsidRDefault="00000000" w:rsidP="004C41E1">
      <w:pPr>
        <w:snapToGrid w:val="0"/>
        <w:spacing w:line="360" w:lineRule="auto"/>
        <w:rPr>
          <w:rFonts w:ascii="宋体" w:hAnsi="宋体"/>
          <w:bCs/>
          <w:sz w:val="24"/>
        </w:rPr>
      </w:pPr>
      <w:r w:rsidRPr="004C41E1">
        <w:rPr>
          <w:rFonts w:ascii="宋体" w:hAnsi="宋体" w:hint="eastAsia"/>
          <w:b/>
          <w:sz w:val="24"/>
        </w:rPr>
        <w:t xml:space="preserve">    </w:t>
      </w:r>
      <w:r w:rsidRPr="004C41E1">
        <w:rPr>
          <w:rFonts w:ascii="宋体" w:hAnsi="宋体" w:hint="eastAsia"/>
          <w:sz w:val="24"/>
        </w:rPr>
        <w:t>（1）</w:t>
      </w:r>
      <w:r w:rsidRPr="004C41E1">
        <w:rPr>
          <w:rFonts w:ascii="宋体" w:hAnsi="宋体" w:hint="eastAsia"/>
          <w:bCs/>
          <w:sz w:val="24"/>
        </w:rPr>
        <w:t>收益性。这是指持有者凭其持有的服票，有权按公司章程从公司领取股息和红利，获取投资收益。</w:t>
      </w:r>
    </w:p>
    <w:p w14:paraId="3F462C97" w14:textId="77777777" w:rsidR="00125FFE" w:rsidRPr="004C41E1" w:rsidRDefault="00000000" w:rsidP="004C41E1">
      <w:pPr>
        <w:snapToGrid w:val="0"/>
        <w:spacing w:line="360" w:lineRule="auto"/>
        <w:rPr>
          <w:rFonts w:ascii="宋体" w:hAnsi="宋体"/>
          <w:bCs/>
          <w:sz w:val="24"/>
        </w:rPr>
      </w:pPr>
      <w:r w:rsidRPr="004C41E1">
        <w:rPr>
          <w:rFonts w:ascii="宋体" w:hAnsi="宋体" w:hint="eastAsia"/>
          <w:bCs/>
          <w:sz w:val="24"/>
        </w:rPr>
        <w:t xml:space="preserve">    </w:t>
      </w:r>
      <w:r w:rsidRPr="004C41E1">
        <w:rPr>
          <w:rFonts w:ascii="宋体" w:hAnsi="宋体" w:hint="eastAsia"/>
          <w:sz w:val="24"/>
        </w:rPr>
        <w:t>（2）</w:t>
      </w:r>
      <w:r w:rsidRPr="004C41E1">
        <w:rPr>
          <w:rFonts w:ascii="宋体" w:hAnsi="宋体" w:hint="eastAsia"/>
          <w:bCs/>
          <w:sz w:val="24"/>
        </w:rPr>
        <w:t>风险性。</w:t>
      </w:r>
    </w:p>
    <w:p w14:paraId="02296551" w14:textId="77777777" w:rsidR="00125FFE" w:rsidRPr="004C41E1" w:rsidRDefault="00000000" w:rsidP="004C41E1">
      <w:pPr>
        <w:snapToGrid w:val="0"/>
        <w:spacing w:line="360" w:lineRule="auto"/>
        <w:rPr>
          <w:rFonts w:ascii="宋体" w:hAnsi="宋体"/>
          <w:bCs/>
          <w:sz w:val="24"/>
        </w:rPr>
      </w:pPr>
      <w:r w:rsidRPr="004C41E1">
        <w:rPr>
          <w:rFonts w:ascii="宋体" w:hAnsi="宋体" w:hint="eastAsia"/>
          <w:bCs/>
          <w:sz w:val="24"/>
        </w:rPr>
        <w:t xml:space="preserve">    </w:t>
      </w:r>
      <w:r w:rsidRPr="004C41E1">
        <w:rPr>
          <w:rFonts w:ascii="宋体" w:hAnsi="宋体" w:hint="eastAsia"/>
          <w:sz w:val="24"/>
        </w:rPr>
        <w:t>（3）</w:t>
      </w:r>
      <w:r w:rsidRPr="004C41E1">
        <w:rPr>
          <w:rFonts w:ascii="宋体" w:hAnsi="宋体" w:hint="eastAsia"/>
          <w:bCs/>
          <w:sz w:val="24"/>
        </w:rPr>
        <w:t xml:space="preserve">流动性。流动性是股票的一个基本特征。股票作为一种有价证券，可以在证券市场上转让变现，也可以进行抵押融资，从而使股票保持着高度的流动性。 </w:t>
      </w:r>
    </w:p>
    <w:p w14:paraId="09207A58" w14:textId="77777777" w:rsidR="00125FFE" w:rsidRPr="004C41E1" w:rsidRDefault="00000000" w:rsidP="004C41E1">
      <w:pPr>
        <w:snapToGrid w:val="0"/>
        <w:spacing w:line="360" w:lineRule="auto"/>
        <w:ind w:firstLineChars="200" w:firstLine="480"/>
        <w:rPr>
          <w:rFonts w:ascii="宋体" w:hAnsi="宋体"/>
          <w:bCs/>
          <w:sz w:val="24"/>
        </w:rPr>
      </w:pPr>
      <w:r w:rsidRPr="004C41E1">
        <w:rPr>
          <w:rFonts w:ascii="宋体" w:hAnsi="宋体" w:hint="eastAsia"/>
          <w:sz w:val="24"/>
        </w:rPr>
        <w:t>（4）</w:t>
      </w:r>
      <w:r w:rsidRPr="004C41E1">
        <w:rPr>
          <w:rFonts w:ascii="宋体" w:hAnsi="宋体" w:hint="eastAsia"/>
          <w:bCs/>
          <w:sz w:val="24"/>
        </w:rPr>
        <w:t xml:space="preserve">稳定性 </w:t>
      </w:r>
    </w:p>
    <w:p w14:paraId="3E023200" w14:textId="77777777" w:rsidR="00125FFE" w:rsidRPr="004C41E1" w:rsidRDefault="00000000" w:rsidP="004C41E1">
      <w:pPr>
        <w:snapToGrid w:val="0"/>
        <w:spacing w:line="360" w:lineRule="auto"/>
        <w:rPr>
          <w:rFonts w:ascii="宋体" w:hAnsi="宋体"/>
          <w:bCs/>
          <w:sz w:val="24"/>
        </w:rPr>
      </w:pPr>
      <w:r w:rsidRPr="004C41E1">
        <w:rPr>
          <w:rFonts w:ascii="宋体" w:hAnsi="宋体" w:hint="eastAsia"/>
          <w:bCs/>
          <w:sz w:val="24"/>
        </w:rPr>
        <w:t xml:space="preserve">    </w:t>
      </w:r>
      <w:r w:rsidRPr="004C41E1">
        <w:rPr>
          <w:rFonts w:ascii="宋体" w:hAnsi="宋体" w:hint="eastAsia"/>
          <w:sz w:val="24"/>
        </w:rPr>
        <w:t>（5）</w:t>
      </w:r>
      <w:r w:rsidRPr="004C41E1">
        <w:rPr>
          <w:rFonts w:ascii="宋体" w:hAnsi="宋体" w:hint="eastAsia"/>
          <w:bCs/>
          <w:sz w:val="24"/>
        </w:rPr>
        <w:t>股份的伸缩性。这是指股票所代表的股份既可以拆细，又可以合并。</w:t>
      </w:r>
    </w:p>
    <w:p w14:paraId="75450507" w14:textId="77777777" w:rsidR="00125FFE" w:rsidRPr="004C41E1" w:rsidRDefault="00000000" w:rsidP="004C41E1">
      <w:pPr>
        <w:snapToGrid w:val="0"/>
        <w:spacing w:line="360" w:lineRule="auto"/>
        <w:ind w:firstLine="420"/>
        <w:rPr>
          <w:rFonts w:ascii="宋体" w:hAnsi="宋体"/>
          <w:bCs/>
          <w:sz w:val="24"/>
        </w:rPr>
      </w:pPr>
      <w:r w:rsidRPr="004C41E1">
        <w:rPr>
          <w:rFonts w:ascii="宋体" w:hAnsi="宋体" w:hint="eastAsia"/>
          <w:sz w:val="24"/>
        </w:rPr>
        <w:t>（6）</w:t>
      </w:r>
      <w:r w:rsidRPr="004C41E1">
        <w:rPr>
          <w:rFonts w:ascii="宋体" w:hAnsi="宋体" w:hint="eastAsia"/>
          <w:bCs/>
          <w:sz w:val="24"/>
        </w:rPr>
        <w:t>价格的波动性。7．经营决策的参与性。根据有关法律的规定，股票的持有者，有权出席股东大会，选举公司的董事会，参与公司的经营决策。股东参与公司经营决策的权利大小，取决于其所持有的股份的多少。</w:t>
      </w:r>
    </w:p>
    <w:p w14:paraId="73DEC2B1" w14:textId="77777777" w:rsidR="00125FFE" w:rsidRPr="004C41E1" w:rsidRDefault="00000000" w:rsidP="004C41E1">
      <w:pPr>
        <w:snapToGrid w:val="0"/>
        <w:spacing w:line="360" w:lineRule="auto"/>
        <w:ind w:firstLineChars="200" w:firstLine="482"/>
        <w:rPr>
          <w:rFonts w:ascii="宋体" w:hAnsi="宋体"/>
          <w:b/>
          <w:sz w:val="24"/>
        </w:rPr>
      </w:pPr>
      <w:r w:rsidRPr="004C41E1">
        <w:rPr>
          <w:rFonts w:ascii="宋体" w:hAnsi="宋体" w:hint="eastAsia"/>
          <w:b/>
          <w:sz w:val="24"/>
        </w:rPr>
        <w:t>2.股票的种类</w:t>
      </w:r>
    </w:p>
    <w:p w14:paraId="43E008E5" w14:textId="77777777" w:rsidR="00125FFE" w:rsidRPr="004C41E1" w:rsidRDefault="00000000" w:rsidP="004C41E1">
      <w:pPr>
        <w:snapToGrid w:val="0"/>
        <w:spacing w:line="360" w:lineRule="auto"/>
        <w:ind w:left="420"/>
        <w:rPr>
          <w:rFonts w:ascii="宋体" w:hAnsi="宋体"/>
          <w:bCs/>
          <w:sz w:val="24"/>
        </w:rPr>
      </w:pPr>
      <w:r w:rsidRPr="004C41E1">
        <w:rPr>
          <w:rFonts w:ascii="宋体" w:hAnsi="宋体" w:hint="eastAsia"/>
          <w:bCs/>
          <w:sz w:val="24"/>
        </w:rPr>
        <w:t>股票的品种很多，分类方法亦有差异。常见的股票种类有以下几种。</w:t>
      </w:r>
    </w:p>
    <w:p w14:paraId="04C21821" w14:textId="77777777" w:rsidR="00125FFE" w:rsidRPr="004C41E1" w:rsidRDefault="00000000" w:rsidP="004C41E1">
      <w:pPr>
        <w:snapToGrid w:val="0"/>
        <w:spacing w:line="360" w:lineRule="auto"/>
        <w:ind w:firstLineChars="200" w:firstLine="480"/>
        <w:rPr>
          <w:rFonts w:ascii="宋体" w:hAnsi="宋体"/>
          <w:b/>
          <w:sz w:val="24"/>
        </w:rPr>
      </w:pPr>
      <w:r w:rsidRPr="004C41E1">
        <w:rPr>
          <w:rFonts w:ascii="宋体" w:hAnsi="宋体" w:hint="eastAsia"/>
          <w:sz w:val="24"/>
        </w:rPr>
        <w:t>（1）</w:t>
      </w:r>
      <w:r w:rsidRPr="004C41E1">
        <w:rPr>
          <w:rFonts w:ascii="宋体" w:hAnsi="宋体" w:hint="eastAsia"/>
          <w:b/>
          <w:sz w:val="24"/>
        </w:rPr>
        <w:t>根据股东承担的风险和享受的权利的不同，可将股票分为普通股和优先股</w:t>
      </w:r>
    </w:p>
    <w:p w14:paraId="252462C9" w14:textId="77777777" w:rsidR="00125FFE" w:rsidRPr="004C41E1" w:rsidRDefault="00000000" w:rsidP="004C41E1">
      <w:pPr>
        <w:snapToGrid w:val="0"/>
        <w:spacing w:line="360" w:lineRule="auto"/>
        <w:ind w:firstLine="421"/>
        <w:rPr>
          <w:rFonts w:ascii="宋体" w:hAnsi="宋体"/>
          <w:bCs/>
          <w:sz w:val="24"/>
        </w:rPr>
      </w:pPr>
      <w:r w:rsidRPr="004C41E1">
        <w:rPr>
          <w:rFonts w:ascii="宋体" w:hAnsi="宋体" w:hint="eastAsia"/>
          <w:bCs/>
          <w:sz w:val="24"/>
        </w:rPr>
        <w:t>普通股股票是指每一股份对公司财产都拥有平等权益，即对股东享有的平等权利不加以特别限制，并能随股份有限公司利润的大小而分取相应股息的股票。是股票家族中最基本、最重要的成员，享有公司经营管理和公司利润、资产分配上最基本的权利。</w:t>
      </w:r>
    </w:p>
    <w:p w14:paraId="7FEE86B7" w14:textId="77777777" w:rsidR="00125FFE" w:rsidRPr="004C41E1" w:rsidRDefault="00000000" w:rsidP="004C41E1">
      <w:pPr>
        <w:snapToGrid w:val="0"/>
        <w:spacing w:line="360" w:lineRule="auto"/>
        <w:ind w:firstLine="421"/>
        <w:rPr>
          <w:rFonts w:ascii="宋体" w:hAnsi="宋体"/>
          <w:bCs/>
          <w:sz w:val="24"/>
        </w:rPr>
      </w:pPr>
      <w:r w:rsidRPr="004C41E1">
        <w:rPr>
          <w:rFonts w:ascii="宋体" w:hAnsi="宋体" w:hint="eastAsia"/>
          <w:bCs/>
          <w:sz w:val="24"/>
        </w:rPr>
        <w:t>优先股股票是指由股份有限公司发行的在分配公司收益和剩余资产方面比普通股股票具有优先权的股票。</w:t>
      </w:r>
    </w:p>
    <w:p w14:paraId="7CB3288B" w14:textId="77777777" w:rsidR="00125FFE" w:rsidRPr="004C41E1" w:rsidRDefault="00000000" w:rsidP="004C41E1">
      <w:pPr>
        <w:snapToGrid w:val="0"/>
        <w:spacing w:line="360" w:lineRule="auto"/>
        <w:ind w:leftChars="200" w:left="420"/>
        <w:rPr>
          <w:rFonts w:ascii="宋体" w:hAnsi="宋体"/>
          <w:sz w:val="24"/>
        </w:rPr>
      </w:pPr>
      <w:r w:rsidRPr="004C41E1">
        <w:rPr>
          <w:rFonts w:ascii="宋体" w:hAnsi="宋体" w:hint="eastAsia"/>
          <w:sz w:val="24"/>
        </w:rPr>
        <w:t>（2）按投资主体</w:t>
      </w:r>
    </w:p>
    <w:p w14:paraId="00274553" w14:textId="77777777" w:rsidR="00125FFE" w:rsidRPr="004C41E1" w:rsidRDefault="00000000" w:rsidP="004C41E1">
      <w:pPr>
        <w:snapToGrid w:val="0"/>
        <w:spacing w:line="360" w:lineRule="auto"/>
        <w:ind w:firstLineChars="200" w:firstLine="480"/>
        <w:rPr>
          <w:rFonts w:ascii="宋体" w:hAnsi="宋体"/>
          <w:sz w:val="24"/>
        </w:rPr>
      </w:pPr>
      <w:r w:rsidRPr="004C41E1">
        <w:rPr>
          <w:rFonts w:ascii="宋体" w:hAnsi="宋体" w:hint="eastAsia"/>
          <w:sz w:val="24"/>
        </w:rPr>
        <w:t xml:space="preserve"> 国家股、法人股、公众股、外资股等</w:t>
      </w:r>
    </w:p>
    <w:p w14:paraId="7D9B391F" w14:textId="77777777" w:rsidR="00125FFE" w:rsidRPr="004C41E1" w:rsidRDefault="00000000" w:rsidP="004C41E1">
      <w:pPr>
        <w:snapToGrid w:val="0"/>
        <w:spacing w:line="360" w:lineRule="auto"/>
        <w:ind w:leftChars="200" w:left="420"/>
        <w:rPr>
          <w:rFonts w:ascii="宋体" w:hAnsi="宋体"/>
          <w:sz w:val="24"/>
        </w:rPr>
      </w:pPr>
      <w:r w:rsidRPr="004C41E1">
        <w:rPr>
          <w:rFonts w:ascii="宋体" w:hAnsi="宋体" w:hint="eastAsia"/>
          <w:sz w:val="24"/>
        </w:rPr>
        <w:t>（3）按其票面是否记载股东姓名，可分为记名股票和不记名股票</w:t>
      </w:r>
    </w:p>
    <w:p w14:paraId="46EB4E67" w14:textId="77777777" w:rsidR="00125FFE" w:rsidRPr="004C41E1" w:rsidRDefault="00000000" w:rsidP="004C41E1">
      <w:pPr>
        <w:snapToGrid w:val="0"/>
        <w:spacing w:line="360" w:lineRule="auto"/>
        <w:ind w:leftChars="200" w:left="420"/>
        <w:rPr>
          <w:rFonts w:ascii="宋体" w:hAnsi="宋体"/>
          <w:sz w:val="24"/>
        </w:rPr>
      </w:pPr>
      <w:r w:rsidRPr="004C41E1">
        <w:rPr>
          <w:rFonts w:ascii="宋体" w:hAnsi="宋体" w:hint="eastAsia"/>
          <w:sz w:val="24"/>
        </w:rPr>
        <w:t>（4）按是否有无票面金额加以表示，可分为面额股票和无面额股票</w:t>
      </w:r>
    </w:p>
    <w:p w14:paraId="4C2B9C1C" w14:textId="77777777" w:rsidR="00125FFE" w:rsidRPr="004C41E1" w:rsidRDefault="00125FFE" w:rsidP="004C41E1">
      <w:pPr>
        <w:spacing w:line="360" w:lineRule="auto"/>
        <w:ind w:firstLineChars="149" w:firstLine="358"/>
        <w:rPr>
          <w:rFonts w:ascii="宋体" w:hAnsi="宋体"/>
          <w:sz w:val="24"/>
        </w:rPr>
      </w:pPr>
    </w:p>
    <w:p w14:paraId="4010BE15" w14:textId="77777777" w:rsidR="00125FFE" w:rsidRPr="004C41E1" w:rsidRDefault="00000000" w:rsidP="004C41E1">
      <w:pPr>
        <w:numPr>
          <w:ilvl w:val="0"/>
          <w:numId w:val="1"/>
        </w:numPr>
        <w:spacing w:line="360" w:lineRule="auto"/>
        <w:ind w:firstLineChars="149" w:firstLine="359"/>
        <w:rPr>
          <w:rFonts w:ascii="宋体" w:hAnsi="宋体"/>
          <w:b/>
          <w:sz w:val="24"/>
        </w:rPr>
      </w:pPr>
      <w:r w:rsidRPr="004C41E1">
        <w:rPr>
          <w:rFonts w:ascii="宋体" w:hAnsi="宋体" w:hint="eastAsia"/>
          <w:b/>
          <w:sz w:val="24"/>
        </w:rPr>
        <w:t>债券</w:t>
      </w:r>
    </w:p>
    <w:p w14:paraId="5D58F249" w14:textId="77777777" w:rsidR="00125FFE" w:rsidRPr="004C41E1" w:rsidRDefault="00000000" w:rsidP="004C41E1">
      <w:pPr>
        <w:spacing w:line="360" w:lineRule="auto"/>
        <w:ind w:firstLineChars="200" w:firstLine="480"/>
        <w:rPr>
          <w:rFonts w:ascii="宋体" w:hAnsi="宋体"/>
          <w:bCs/>
          <w:sz w:val="24"/>
        </w:rPr>
      </w:pPr>
      <w:r w:rsidRPr="004C41E1">
        <w:rPr>
          <w:rFonts w:ascii="宋体" w:hAnsi="宋体" w:hint="eastAsia"/>
          <w:bCs/>
          <w:sz w:val="24"/>
        </w:rPr>
        <w:t>债券是政府、企业、银行等债务人为筹集资金,按照法定程序发行并向债权人承诺于指定日期还本付息的有价证券。</w:t>
      </w:r>
    </w:p>
    <w:p w14:paraId="3853BF60" w14:textId="77777777" w:rsidR="00125FFE" w:rsidRPr="004C41E1" w:rsidRDefault="00000000" w:rsidP="004C41E1">
      <w:pPr>
        <w:spacing w:line="360" w:lineRule="auto"/>
        <w:ind w:firstLineChars="200" w:firstLine="480"/>
        <w:rPr>
          <w:rFonts w:ascii="宋体" w:hAnsi="宋体"/>
          <w:bCs/>
          <w:sz w:val="24"/>
        </w:rPr>
      </w:pPr>
      <w:r w:rsidRPr="004C41E1">
        <w:rPr>
          <w:rFonts w:ascii="宋体" w:hAnsi="宋体" w:hint="eastAsia"/>
          <w:bCs/>
          <w:sz w:val="24"/>
        </w:rPr>
        <w:t>债券（Bonds / debenture）是一种金融契约，是政府、金融机构、工商企业等直接向社会借债筹借资金时，向投资者发行，同时承诺按一定利率支付利息并按约定条件偿还本金的债权债务凭证。债券的本质是债的证明书，具有法律效力。</w:t>
      </w:r>
    </w:p>
    <w:p w14:paraId="7FE18C14" w14:textId="77777777" w:rsidR="00125FFE" w:rsidRPr="004C41E1" w:rsidRDefault="00000000" w:rsidP="004C41E1">
      <w:pPr>
        <w:spacing w:line="360" w:lineRule="auto"/>
        <w:ind w:firstLineChars="200" w:firstLine="480"/>
        <w:rPr>
          <w:rFonts w:ascii="宋体" w:hAnsi="宋体"/>
          <w:bCs/>
          <w:sz w:val="24"/>
        </w:rPr>
      </w:pPr>
      <w:r w:rsidRPr="004C41E1">
        <w:rPr>
          <w:rFonts w:ascii="宋体" w:hAnsi="宋体" w:hint="eastAsia"/>
          <w:bCs/>
          <w:sz w:val="24"/>
        </w:rPr>
        <w:t>债券购买者或投资者与发行者之间是一种债权债务关系，债券发行人即债务人，投资者（债券购买者）即债权人</w:t>
      </w:r>
    </w:p>
    <w:p w14:paraId="0AC7E30A" w14:textId="77777777" w:rsidR="00125FFE" w:rsidRPr="004C41E1" w:rsidRDefault="00000000" w:rsidP="004C41E1">
      <w:pPr>
        <w:snapToGrid w:val="0"/>
        <w:spacing w:line="360" w:lineRule="auto"/>
        <w:ind w:firstLineChars="198" w:firstLine="475"/>
        <w:rPr>
          <w:rFonts w:ascii="宋体" w:hAnsi="宋体"/>
          <w:bCs/>
          <w:sz w:val="24"/>
        </w:rPr>
      </w:pPr>
      <w:r w:rsidRPr="004C41E1">
        <w:rPr>
          <w:rFonts w:ascii="宋体" w:hAnsi="宋体" w:hint="eastAsia"/>
          <w:bCs/>
          <w:sz w:val="24"/>
        </w:rPr>
        <w:t xml:space="preserve"> 债券与股票的区别在于两者期限不同、 收益不同、 承担的风险不同、 投资动机不同      以及权利不同。</w:t>
      </w:r>
    </w:p>
    <w:p w14:paraId="315DAF34" w14:textId="77777777" w:rsidR="00125FFE" w:rsidRPr="004C41E1" w:rsidRDefault="00125FFE" w:rsidP="004C41E1">
      <w:pPr>
        <w:snapToGrid w:val="0"/>
        <w:spacing w:line="360" w:lineRule="auto"/>
        <w:ind w:firstLineChars="198" w:firstLine="475"/>
        <w:rPr>
          <w:rFonts w:ascii="宋体" w:hAnsi="宋体"/>
          <w:bCs/>
          <w:sz w:val="24"/>
        </w:rPr>
      </w:pPr>
    </w:p>
    <w:p w14:paraId="72173D0C" w14:textId="77777777" w:rsidR="00125FFE" w:rsidRPr="004C41E1" w:rsidRDefault="00000000" w:rsidP="004C41E1">
      <w:pPr>
        <w:spacing w:line="360" w:lineRule="auto"/>
        <w:ind w:firstLineChars="149" w:firstLine="359"/>
        <w:rPr>
          <w:rFonts w:ascii="宋体" w:hAnsi="宋体"/>
          <w:b/>
          <w:sz w:val="24"/>
        </w:rPr>
      </w:pPr>
      <w:r w:rsidRPr="004C41E1">
        <w:rPr>
          <w:rFonts w:ascii="宋体" w:hAnsi="宋体" w:hint="eastAsia"/>
          <w:b/>
          <w:sz w:val="24"/>
        </w:rPr>
        <w:t>（三）证券市场</w:t>
      </w:r>
    </w:p>
    <w:p w14:paraId="008DE96D" w14:textId="77777777" w:rsidR="00125FFE" w:rsidRPr="004C41E1" w:rsidRDefault="00000000" w:rsidP="004C41E1">
      <w:pPr>
        <w:spacing w:line="360" w:lineRule="auto"/>
        <w:ind w:firstLine="420"/>
        <w:rPr>
          <w:rFonts w:ascii="宋体" w:hAnsi="宋体"/>
          <w:sz w:val="24"/>
        </w:rPr>
      </w:pPr>
      <w:r w:rsidRPr="004C41E1">
        <w:rPr>
          <w:rFonts w:ascii="宋体" w:hAnsi="宋体" w:hint="eastAsia"/>
          <w:sz w:val="24"/>
        </w:rPr>
        <w:t>证券市场是证券发行和交易的场所。是股票、债券、基金单位等有价证券及其衍生产品（如期货、期权等）发行和交易的场所。</w:t>
      </w:r>
    </w:p>
    <w:p w14:paraId="5F40BC02"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 xml:space="preserve">按证券市场的功能分： </w:t>
      </w:r>
    </w:p>
    <w:p w14:paraId="51798885" w14:textId="77777777" w:rsidR="00125FFE" w:rsidRPr="004C41E1" w:rsidRDefault="00000000" w:rsidP="004C41E1">
      <w:pPr>
        <w:spacing w:line="360" w:lineRule="auto"/>
        <w:rPr>
          <w:rFonts w:ascii="宋体" w:hAnsi="宋体"/>
          <w:sz w:val="24"/>
        </w:rPr>
      </w:pPr>
      <w:r w:rsidRPr="004C41E1">
        <w:rPr>
          <w:rFonts w:ascii="宋体" w:hAnsi="宋体" w:hint="eastAsia"/>
          <w:sz w:val="24"/>
        </w:rPr>
        <w:t xml:space="preserve">    （1）证券发行市场 （一级市场、初级市场）</w:t>
      </w:r>
    </w:p>
    <w:p w14:paraId="3E773BEB" w14:textId="77777777" w:rsidR="00125FFE" w:rsidRPr="004C41E1" w:rsidRDefault="00000000" w:rsidP="004C41E1">
      <w:pPr>
        <w:spacing w:line="360" w:lineRule="auto"/>
        <w:rPr>
          <w:rFonts w:ascii="宋体" w:hAnsi="宋体"/>
          <w:sz w:val="24"/>
        </w:rPr>
      </w:pPr>
      <w:r w:rsidRPr="004C41E1">
        <w:rPr>
          <w:rFonts w:ascii="宋体" w:hAnsi="宋体" w:hint="eastAsia"/>
          <w:sz w:val="24"/>
        </w:rPr>
        <w:t xml:space="preserve">    （2）证券流通市场（二级市场、次级市场）</w:t>
      </w:r>
    </w:p>
    <w:p w14:paraId="7F428BE5"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证券发行市场是发行证券，是证券发行者为扩充经营，按照一定的法律规定和发行程序，向投资者出售新证券所形成的市场，又称一级市场、初级市场。</w:t>
      </w:r>
    </w:p>
    <w:p w14:paraId="36FDD51D"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证券流通市场是指买卖已发行证券的市场，也就是已发行的证券通过买卖交易实现流通转让的场所。又称二级市场、次级市场。</w:t>
      </w:r>
    </w:p>
    <w:p w14:paraId="42E59C5E" w14:textId="77777777" w:rsidR="00125FFE" w:rsidRPr="004C41E1" w:rsidRDefault="00125FFE" w:rsidP="004C41E1">
      <w:pPr>
        <w:spacing w:line="360" w:lineRule="auto"/>
        <w:ind w:firstLine="420"/>
        <w:rPr>
          <w:rFonts w:ascii="宋体" w:hAnsi="宋体"/>
          <w:sz w:val="24"/>
        </w:rPr>
      </w:pPr>
    </w:p>
    <w:p w14:paraId="7DAC8C06" w14:textId="77777777" w:rsidR="00125FFE" w:rsidRPr="004C41E1" w:rsidRDefault="00000000" w:rsidP="004C41E1">
      <w:pPr>
        <w:spacing w:line="360" w:lineRule="auto"/>
        <w:ind w:firstLineChars="100" w:firstLine="241"/>
        <w:rPr>
          <w:rFonts w:ascii="宋体" w:hAnsi="宋体"/>
          <w:b/>
          <w:sz w:val="24"/>
        </w:rPr>
      </w:pPr>
      <w:r w:rsidRPr="004C41E1">
        <w:rPr>
          <w:rFonts w:ascii="宋体" w:hAnsi="宋体" w:hint="eastAsia"/>
          <w:b/>
          <w:sz w:val="24"/>
        </w:rPr>
        <w:t>（四）证券分析</w:t>
      </w:r>
    </w:p>
    <w:p w14:paraId="5F84C620"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证券投资分析既是规避风险的需要，又是投资者实施投资决策的依据和前提，同时也是投资者能否降低投资风险、投资获得成功的关键。</w:t>
      </w:r>
    </w:p>
    <w:p w14:paraId="03B1B4E3"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证券投资分析的方法大体可分为两类：</w:t>
      </w:r>
      <w:r w:rsidRPr="004C41E1">
        <w:rPr>
          <w:rFonts w:ascii="宋体" w:hAnsi="宋体" w:hint="eastAsia"/>
          <w:b/>
          <w:sz w:val="24"/>
        </w:rPr>
        <w:t>第一类为基本面分析，第二类为技术分析</w:t>
      </w:r>
      <w:r w:rsidRPr="004C41E1">
        <w:rPr>
          <w:rFonts w:ascii="宋体" w:hAnsi="宋体" w:hint="eastAsia"/>
          <w:sz w:val="24"/>
        </w:rPr>
        <w:t>。</w:t>
      </w:r>
    </w:p>
    <w:p w14:paraId="53751439" w14:textId="77777777" w:rsidR="00125FFE" w:rsidRPr="004C41E1" w:rsidRDefault="00000000" w:rsidP="004C41E1">
      <w:pPr>
        <w:spacing w:line="360" w:lineRule="auto"/>
        <w:ind w:firstLineChars="200" w:firstLine="482"/>
        <w:rPr>
          <w:rFonts w:ascii="宋体" w:hAnsi="宋体"/>
          <w:sz w:val="24"/>
        </w:rPr>
      </w:pPr>
      <w:r w:rsidRPr="004C41E1">
        <w:rPr>
          <w:rFonts w:ascii="宋体" w:hAnsi="宋体" w:hint="eastAsia"/>
          <w:b/>
          <w:sz w:val="24"/>
        </w:rPr>
        <w:lastRenderedPageBreak/>
        <w:t>1、基本面分析</w:t>
      </w:r>
      <w:r w:rsidRPr="004C41E1">
        <w:rPr>
          <w:rFonts w:ascii="宋体" w:hAnsi="宋体" w:hint="eastAsia"/>
          <w:sz w:val="24"/>
        </w:rPr>
        <w:t>，是指证券投资分析人员根据经济学、金融学、财务管理学及投资学的基本原理，通过对决定证券价值及价格的基本要素如宏观经济指标、经济政策走势、行业发展状况、产品市场状况、公司销售和财务状况等的分析，评估证券的投资价值，判断证券的合理价位，从而提出相应的投资建议的一种分析方法。</w:t>
      </w:r>
    </w:p>
    <w:p w14:paraId="4D95AB8B"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基本面分析主要包括下面三个方面内容： </w:t>
      </w:r>
    </w:p>
    <w:p w14:paraId="01E2CF5D" w14:textId="77777777" w:rsidR="00125FFE" w:rsidRPr="004C41E1" w:rsidRDefault="00000000" w:rsidP="004C41E1">
      <w:pPr>
        <w:spacing w:line="360" w:lineRule="auto"/>
        <w:ind w:firstLineChars="200" w:firstLine="482"/>
        <w:rPr>
          <w:rFonts w:ascii="宋体" w:hAnsi="宋体"/>
          <w:sz w:val="24"/>
        </w:rPr>
      </w:pPr>
      <w:r w:rsidRPr="004C41E1">
        <w:rPr>
          <w:rFonts w:ascii="宋体" w:hAnsi="宋体" w:hint="eastAsia"/>
          <w:b/>
          <w:sz w:val="24"/>
        </w:rPr>
        <w:t>（1）宏观经济分析。</w:t>
      </w:r>
      <w:r w:rsidRPr="004C41E1">
        <w:rPr>
          <w:rFonts w:ascii="宋体" w:hAnsi="宋体" w:hint="eastAsia"/>
          <w:sz w:val="24"/>
        </w:rPr>
        <w:t xml:space="preserve">主要研究经济政策（货币政策、财政政策、税收政策、产业政策等等）、经济走势（经济增长、经济周期、就业状况、通货膨胀与通货紧缩、国际收支状况等等）以及其他宏观影响因素（政治因素、战争因素、自然灾害因素、  </w:t>
      </w:r>
      <w:proofErr w:type="gramStart"/>
      <w:r w:rsidRPr="004C41E1">
        <w:rPr>
          <w:rFonts w:ascii="宋体" w:hAnsi="宋体" w:hint="eastAsia"/>
          <w:sz w:val="24"/>
        </w:rPr>
        <w:t>国际政局</w:t>
      </w:r>
      <w:proofErr w:type="gramEnd"/>
      <w:r w:rsidRPr="004C41E1">
        <w:rPr>
          <w:rFonts w:ascii="宋体" w:hAnsi="宋体" w:hint="eastAsia"/>
          <w:sz w:val="24"/>
        </w:rPr>
        <w:t>因素、社会心理因素等等）对股票市场的影响。</w:t>
      </w:r>
    </w:p>
    <w:p w14:paraId="7539CA6B" w14:textId="77777777" w:rsidR="00125FFE" w:rsidRPr="004C41E1" w:rsidRDefault="00000000" w:rsidP="004C41E1">
      <w:pPr>
        <w:spacing w:line="360" w:lineRule="auto"/>
        <w:ind w:firstLineChars="200" w:firstLine="482"/>
        <w:rPr>
          <w:rFonts w:ascii="宋体" w:hAnsi="宋体"/>
          <w:sz w:val="24"/>
        </w:rPr>
      </w:pPr>
      <w:r w:rsidRPr="004C41E1">
        <w:rPr>
          <w:rFonts w:ascii="宋体" w:hAnsi="宋体" w:hint="eastAsia"/>
          <w:b/>
          <w:sz w:val="24"/>
        </w:rPr>
        <w:t>（2）行业和区域分析</w:t>
      </w:r>
      <w:r w:rsidRPr="004C41E1">
        <w:rPr>
          <w:rFonts w:ascii="宋体" w:hAnsi="宋体" w:hint="eastAsia"/>
          <w:sz w:val="24"/>
        </w:rPr>
        <w:t>。主要分析行业经济结构分析、公司所处行业的上下游分析、行业的生命周期特征分析、行业的经济周期特征分析、产业前景、区域经济发展对上市公司的影响等。</w:t>
      </w:r>
    </w:p>
    <w:p w14:paraId="45176E73" w14:textId="77777777" w:rsidR="00125FFE" w:rsidRPr="004C41E1" w:rsidRDefault="00000000" w:rsidP="004C41E1">
      <w:pPr>
        <w:adjustRightInd w:val="0"/>
        <w:spacing w:line="360" w:lineRule="auto"/>
        <w:ind w:firstLine="567"/>
        <w:jc w:val="left"/>
        <w:rPr>
          <w:rFonts w:ascii="宋体" w:hAnsi="宋体"/>
          <w:b/>
          <w:color w:val="000000"/>
          <w:kern w:val="0"/>
          <w:sz w:val="24"/>
        </w:rPr>
      </w:pPr>
      <w:r w:rsidRPr="004C41E1">
        <w:rPr>
          <w:rFonts w:ascii="宋体" w:hAnsi="宋体" w:hint="eastAsia"/>
          <w:b/>
          <w:color w:val="000000"/>
          <w:kern w:val="0"/>
          <w:sz w:val="24"/>
        </w:rPr>
        <w:t>行业生命周期分析</w:t>
      </w:r>
    </w:p>
    <w:tbl>
      <w:tblPr>
        <w:tblW w:w="0" w:type="auto"/>
        <w:jc w:val="center"/>
        <w:tblBorders>
          <w:top w:val="single" w:sz="8" w:space="0" w:color="000000"/>
          <w:left w:val="single" w:sz="8" w:space="0" w:color="000000"/>
          <w:right w:val="single" w:sz="8" w:space="0" w:color="000000"/>
        </w:tblBorders>
        <w:tblLook w:val="04A0" w:firstRow="1" w:lastRow="0" w:firstColumn="1" w:lastColumn="0" w:noHBand="0" w:noVBand="1"/>
      </w:tblPr>
      <w:tblGrid>
        <w:gridCol w:w="1080"/>
        <w:gridCol w:w="1299"/>
        <w:gridCol w:w="1041"/>
        <w:gridCol w:w="1080"/>
        <w:gridCol w:w="1455"/>
      </w:tblGrid>
      <w:tr w:rsidR="00125FFE" w:rsidRPr="004C41E1" w14:paraId="74A9333C" w14:textId="77777777">
        <w:trPr>
          <w:trHeight w:val="340"/>
          <w:jc w:val="center"/>
        </w:trPr>
        <w:tc>
          <w:tcPr>
            <w:tcW w:w="1080" w:type="dxa"/>
            <w:tcBorders>
              <w:top w:val="single" w:sz="8" w:space="0" w:color="000000"/>
              <w:left w:val="single" w:sz="8" w:space="0" w:color="000000"/>
              <w:bottom w:val="single" w:sz="4" w:space="0" w:color="000000"/>
              <w:right w:val="single" w:sz="4" w:space="0" w:color="000000"/>
            </w:tcBorders>
            <w:vAlign w:val="center"/>
          </w:tcPr>
          <w:p w14:paraId="2EF4FAD5" w14:textId="77777777" w:rsidR="00125FFE" w:rsidRPr="004C41E1" w:rsidRDefault="00125FFE" w:rsidP="004C41E1">
            <w:pPr>
              <w:spacing w:line="360" w:lineRule="auto"/>
              <w:ind w:firstLine="567"/>
              <w:jc w:val="center"/>
              <w:rPr>
                <w:rFonts w:ascii="宋体" w:hAnsi="宋体"/>
                <w:bCs/>
                <w:kern w:val="0"/>
                <w:sz w:val="24"/>
              </w:rPr>
            </w:pPr>
          </w:p>
        </w:tc>
        <w:tc>
          <w:tcPr>
            <w:tcW w:w="1299" w:type="dxa"/>
            <w:tcBorders>
              <w:top w:val="single" w:sz="8" w:space="0" w:color="000000"/>
              <w:left w:val="nil"/>
              <w:bottom w:val="single" w:sz="4" w:space="0" w:color="000000"/>
              <w:right w:val="single" w:sz="4" w:space="0" w:color="000000"/>
            </w:tcBorders>
            <w:vAlign w:val="center"/>
          </w:tcPr>
          <w:p w14:paraId="07479B0B"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初创期</w:t>
            </w:r>
          </w:p>
        </w:tc>
        <w:tc>
          <w:tcPr>
            <w:tcW w:w="1041" w:type="dxa"/>
            <w:tcBorders>
              <w:top w:val="single" w:sz="8" w:space="0" w:color="000000"/>
              <w:left w:val="nil"/>
              <w:bottom w:val="single" w:sz="4" w:space="0" w:color="000000"/>
              <w:right w:val="single" w:sz="4" w:space="0" w:color="000000"/>
            </w:tcBorders>
            <w:vAlign w:val="center"/>
          </w:tcPr>
          <w:p w14:paraId="6113AA6B"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成长期</w:t>
            </w:r>
          </w:p>
        </w:tc>
        <w:tc>
          <w:tcPr>
            <w:tcW w:w="1080" w:type="dxa"/>
            <w:tcBorders>
              <w:top w:val="single" w:sz="8" w:space="0" w:color="000000"/>
              <w:left w:val="nil"/>
              <w:bottom w:val="single" w:sz="4" w:space="0" w:color="000000"/>
              <w:right w:val="single" w:sz="4" w:space="0" w:color="000000"/>
            </w:tcBorders>
            <w:vAlign w:val="center"/>
          </w:tcPr>
          <w:p w14:paraId="4A7DB844"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稳定期</w:t>
            </w:r>
          </w:p>
        </w:tc>
        <w:tc>
          <w:tcPr>
            <w:tcW w:w="1455" w:type="dxa"/>
            <w:tcBorders>
              <w:top w:val="single" w:sz="8" w:space="0" w:color="000000"/>
              <w:left w:val="nil"/>
              <w:bottom w:val="single" w:sz="4" w:space="0" w:color="000000"/>
              <w:right w:val="single" w:sz="4" w:space="0" w:color="000000"/>
            </w:tcBorders>
            <w:vAlign w:val="center"/>
          </w:tcPr>
          <w:p w14:paraId="5412EA09"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衰退期</w:t>
            </w:r>
          </w:p>
        </w:tc>
      </w:tr>
      <w:tr w:rsidR="00125FFE" w:rsidRPr="004C41E1" w14:paraId="74A60B7C" w14:textId="77777777">
        <w:trPr>
          <w:trHeight w:val="340"/>
          <w:jc w:val="center"/>
        </w:trPr>
        <w:tc>
          <w:tcPr>
            <w:tcW w:w="1080" w:type="dxa"/>
            <w:tcBorders>
              <w:top w:val="nil"/>
              <w:left w:val="single" w:sz="8" w:space="0" w:color="000000"/>
              <w:bottom w:val="single" w:sz="4" w:space="0" w:color="000000"/>
              <w:right w:val="single" w:sz="4" w:space="0" w:color="000000"/>
            </w:tcBorders>
            <w:vAlign w:val="center"/>
          </w:tcPr>
          <w:p w14:paraId="1A1F6814"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厂商数量</w:t>
            </w:r>
          </w:p>
        </w:tc>
        <w:tc>
          <w:tcPr>
            <w:tcW w:w="1299" w:type="dxa"/>
            <w:tcBorders>
              <w:top w:val="nil"/>
              <w:left w:val="nil"/>
              <w:bottom w:val="single" w:sz="4" w:space="0" w:color="000000"/>
              <w:right w:val="single" w:sz="4" w:space="0" w:color="000000"/>
            </w:tcBorders>
            <w:vAlign w:val="center"/>
          </w:tcPr>
          <w:p w14:paraId="41E894AB"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很少</w:t>
            </w:r>
          </w:p>
        </w:tc>
        <w:tc>
          <w:tcPr>
            <w:tcW w:w="1041" w:type="dxa"/>
            <w:tcBorders>
              <w:top w:val="nil"/>
              <w:left w:val="nil"/>
              <w:bottom w:val="single" w:sz="4" w:space="0" w:color="000000"/>
              <w:right w:val="single" w:sz="4" w:space="0" w:color="000000"/>
            </w:tcBorders>
            <w:vAlign w:val="center"/>
          </w:tcPr>
          <w:p w14:paraId="129C2FF4"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增多</w:t>
            </w:r>
          </w:p>
        </w:tc>
        <w:tc>
          <w:tcPr>
            <w:tcW w:w="1080" w:type="dxa"/>
            <w:tcBorders>
              <w:top w:val="nil"/>
              <w:left w:val="nil"/>
              <w:bottom w:val="single" w:sz="4" w:space="0" w:color="000000"/>
              <w:right w:val="single" w:sz="4" w:space="0" w:color="000000"/>
            </w:tcBorders>
            <w:vAlign w:val="center"/>
          </w:tcPr>
          <w:p w14:paraId="0CE8503A"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减少</w:t>
            </w:r>
          </w:p>
        </w:tc>
        <w:tc>
          <w:tcPr>
            <w:tcW w:w="1455" w:type="dxa"/>
            <w:tcBorders>
              <w:top w:val="nil"/>
              <w:left w:val="nil"/>
              <w:bottom w:val="single" w:sz="4" w:space="0" w:color="000000"/>
              <w:right w:val="single" w:sz="4" w:space="0" w:color="000000"/>
            </w:tcBorders>
            <w:vAlign w:val="center"/>
          </w:tcPr>
          <w:p w14:paraId="475A7778"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很少</w:t>
            </w:r>
          </w:p>
        </w:tc>
      </w:tr>
      <w:tr w:rsidR="00125FFE" w:rsidRPr="004C41E1" w14:paraId="3FB648E4" w14:textId="77777777">
        <w:trPr>
          <w:trHeight w:val="340"/>
          <w:jc w:val="center"/>
        </w:trPr>
        <w:tc>
          <w:tcPr>
            <w:tcW w:w="1080" w:type="dxa"/>
            <w:tcBorders>
              <w:top w:val="nil"/>
              <w:left w:val="single" w:sz="8" w:space="0" w:color="000000"/>
              <w:bottom w:val="single" w:sz="4" w:space="0" w:color="000000"/>
              <w:right w:val="single" w:sz="4" w:space="0" w:color="000000"/>
            </w:tcBorders>
            <w:vAlign w:val="center"/>
          </w:tcPr>
          <w:p w14:paraId="21138C89"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利润</w:t>
            </w:r>
          </w:p>
        </w:tc>
        <w:tc>
          <w:tcPr>
            <w:tcW w:w="1299" w:type="dxa"/>
            <w:tcBorders>
              <w:top w:val="nil"/>
              <w:left w:val="nil"/>
              <w:bottom w:val="single" w:sz="4" w:space="0" w:color="000000"/>
              <w:right w:val="single" w:sz="4" w:space="0" w:color="000000"/>
            </w:tcBorders>
            <w:vAlign w:val="center"/>
          </w:tcPr>
          <w:p w14:paraId="06031A3F"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较低或亏损</w:t>
            </w:r>
          </w:p>
        </w:tc>
        <w:tc>
          <w:tcPr>
            <w:tcW w:w="1041" w:type="dxa"/>
            <w:tcBorders>
              <w:top w:val="nil"/>
              <w:left w:val="nil"/>
              <w:bottom w:val="single" w:sz="4" w:space="0" w:color="000000"/>
              <w:right w:val="single" w:sz="4" w:space="0" w:color="000000"/>
            </w:tcBorders>
            <w:vAlign w:val="center"/>
          </w:tcPr>
          <w:p w14:paraId="40129863"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增加</w:t>
            </w:r>
          </w:p>
        </w:tc>
        <w:tc>
          <w:tcPr>
            <w:tcW w:w="1080" w:type="dxa"/>
            <w:tcBorders>
              <w:top w:val="nil"/>
              <w:left w:val="nil"/>
              <w:bottom w:val="single" w:sz="4" w:space="0" w:color="000000"/>
              <w:right w:val="single" w:sz="4" w:space="0" w:color="000000"/>
            </w:tcBorders>
            <w:vAlign w:val="center"/>
          </w:tcPr>
          <w:p w14:paraId="246CDBF8"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无大变化</w:t>
            </w:r>
          </w:p>
        </w:tc>
        <w:tc>
          <w:tcPr>
            <w:tcW w:w="1455" w:type="dxa"/>
            <w:tcBorders>
              <w:top w:val="nil"/>
              <w:left w:val="nil"/>
              <w:bottom w:val="single" w:sz="4" w:space="0" w:color="000000"/>
              <w:right w:val="single" w:sz="4" w:space="0" w:color="000000"/>
            </w:tcBorders>
            <w:vAlign w:val="center"/>
          </w:tcPr>
          <w:p w14:paraId="7F3F6FF0"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减少或亏损</w:t>
            </w:r>
          </w:p>
        </w:tc>
      </w:tr>
      <w:tr w:rsidR="00125FFE" w:rsidRPr="004C41E1" w14:paraId="01CCCBD5" w14:textId="77777777">
        <w:trPr>
          <w:trHeight w:val="340"/>
          <w:jc w:val="center"/>
        </w:trPr>
        <w:tc>
          <w:tcPr>
            <w:tcW w:w="1080" w:type="dxa"/>
            <w:tcBorders>
              <w:top w:val="nil"/>
              <w:left w:val="single" w:sz="8" w:space="0" w:color="000000"/>
              <w:bottom w:val="single" w:sz="4" w:space="0" w:color="000000"/>
              <w:right w:val="single" w:sz="4" w:space="0" w:color="000000"/>
            </w:tcBorders>
            <w:vAlign w:val="center"/>
          </w:tcPr>
          <w:p w14:paraId="4F1732A9"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风险</w:t>
            </w:r>
          </w:p>
        </w:tc>
        <w:tc>
          <w:tcPr>
            <w:tcW w:w="1299" w:type="dxa"/>
            <w:tcBorders>
              <w:top w:val="nil"/>
              <w:left w:val="nil"/>
              <w:bottom w:val="single" w:sz="4" w:space="0" w:color="000000"/>
              <w:right w:val="single" w:sz="4" w:space="0" w:color="000000"/>
            </w:tcBorders>
            <w:vAlign w:val="center"/>
          </w:tcPr>
          <w:p w14:paraId="47FF6372"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较高</w:t>
            </w:r>
          </w:p>
        </w:tc>
        <w:tc>
          <w:tcPr>
            <w:tcW w:w="1041" w:type="dxa"/>
            <w:tcBorders>
              <w:top w:val="nil"/>
              <w:left w:val="nil"/>
              <w:bottom w:val="single" w:sz="4" w:space="0" w:color="000000"/>
              <w:right w:val="single" w:sz="4" w:space="0" w:color="000000"/>
            </w:tcBorders>
            <w:vAlign w:val="center"/>
          </w:tcPr>
          <w:p w14:paraId="2B96F564"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较高</w:t>
            </w:r>
          </w:p>
        </w:tc>
        <w:tc>
          <w:tcPr>
            <w:tcW w:w="1080" w:type="dxa"/>
            <w:tcBorders>
              <w:top w:val="nil"/>
              <w:left w:val="nil"/>
              <w:bottom w:val="single" w:sz="4" w:space="0" w:color="000000"/>
              <w:right w:val="single" w:sz="4" w:space="0" w:color="000000"/>
            </w:tcBorders>
            <w:vAlign w:val="center"/>
          </w:tcPr>
          <w:p w14:paraId="5950C329"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减少</w:t>
            </w:r>
          </w:p>
        </w:tc>
        <w:tc>
          <w:tcPr>
            <w:tcW w:w="1455" w:type="dxa"/>
            <w:tcBorders>
              <w:top w:val="nil"/>
              <w:left w:val="nil"/>
              <w:bottom w:val="single" w:sz="4" w:space="0" w:color="000000"/>
              <w:right w:val="single" w:sz="4" w:space="0" w:color="000000"/>
            </w:tcBorders>
            <w:vAlign w:val="center"/>
          </w:tcPr>
          <w:p w14:paraId="0A5BE0D4" w14:textId="77777777" w:rsidR="00125FFE" w:rsidRPr="004C41E1" w:rsidRDefault="00000000" w:rsidP="004C41E1">
            <w:pPr>
              <w:spacing w:line="360" w:lineRule="auto"/>
              <w:jc w:val="center"/>
              <w:rPr>
                <w:rFonts w:ascii="宋体" w:hAnsi="宋体"/>
                <w:bCs/>
                <w:kern w:val="0"/>
                <w:sz w:val="24"/>
              </w:rPr>
            </w:pPr>
            <w:r w:rsidRPr="004C41E1">
              <w:rPr>
                <w:rFonts w:ascii="宋体" w:hAnsi="宋体" w:hint="eastAsia"/>
                <w:bCs/>
                <w:kern w:val="0"/>
                <w:sz w:val="24"/>
              </w:rPr>
              <w:t>较高</w:t>
            </w:r>
          </w:p>
        </w:tc>
      </w:tr>
    </w:tbl>
    <w:p w14:paraId="28B4614E" w14:textId="77777777" w:rsidR="00125FFE" w:rsidRPr="004C41E1" w:rsidRDefault="00125FFE" w:rsidP="004C41E1">
      <w:pPr>
        <w:spacing w:line="360" w:lineRule="auto"/>
        <w:ind w:firstLineChars="200" w:firstLine="480"/>
        <w:rPr>
          <w:rFonts w:ascii="宋体" w:hAnsi="宋体"/>
          <w:sz w:val="24"/>
        </w:rPr>
      </w:pPr>
    </w:p>
    <w:p w14:paraId="2B05A649"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 xml:space="preserve">  风险是证券投资损失的可能性，成熟期的行业盈利很大，投资风险也相对较小。</w:t>
      </w:r>
    </w:p>
    <w:p w14:paraId="12C90ACD" w14:textId="77777777" w:rsidR="00125FFE" w:rsidRPr="004C41E1" w:rsidRDefault="00000000" w:rsidP="004C41E1">
      <w:pPr>
        <w:spacing w:line="360" w:lineRule="auto"/>
        <w:ind w:firstLineChars="200" w:firstLine="482"/>
        <w:rPr>
          <w:rFonts w:ascii="宋体" w:hAnsi="宋体"/>
          <w:b/>
          <w:sz w:val="24"/>
        </w:rPr>
      </w:pPr>
      <w:r w:rsidRPr="004C41E1">
        <w:rPr>
          <w:rFonts w:ascii="宋体" w:hAnsi="宋体" w:hint="eastAsia"/>
          <w:b/>
          <w:sz w:val="24"/>
        </w:rPr>
        <w:t>（3）公司分析。</w:t>
      </w:r>
      <w:r w:rsidRPr="004C41E1">
        <w:rPr>
          <w:rFonts w:ascii="宋体" w:hAnsi="宋体" w:hint="eastAsia"/>
          <w:sz w:val="24"/>
        </w:rPr>
        <w:t>主要具体分析上市公司行业地位、市场前景、财务状况等</w:t>
      </w:r>
      <w:r w:rsidRPr="004C41E1">
        <w:rPr>
          <w:rFonts w:ascii="宋体" w:hAnsi="宋体" w:hint="eastAsia"/>
          <w:b/>
          <w:sz w:val="24"/>
        </w:rPr>
        <w:t>。</w:t>
      </w:r>
    </w:p>
    <w:p w14:paraId="45B00A80" w14:textId="77777777" w:rsidR="00125FFE" w:rsidRPr="004C41E1" w:rsidRDefault="00000000" w:rsidP="004C41E1">
      <w:pPr>
        <w:adjustRightInd w:val="0"/>
        <w:spacing w:line="360" w:lineRule="auto"/>
        <w:ind w:firstLineChars="347" w:firstLine="836"/>
        <w:jc w:val="left"/>
        <w:rPr>
          <w:rFonts w:ascii="宋体" w:hAnsi="宋体"/>
          <w:b/>
          <w:color w:val="000000"/>
          <w:kern w:val="0"/>
          <w:sz w:val="24"/>
        </w:rPr>
      </w:pPr>
      <w:r w:rsidRPr="004C41E1">
        <w:rPr>
          <w:rFonts w:ascii="宋体" w:hAnsi="宋体" w:hint="eastAsia"/>
          <w:b/>
          <w:color w:val="000000"/>
          <w:kern w:val="0"/>
          <w:sz w:val="24"/>
        </w:rPr>
        <w:t xml:space="preserve">资本结构分析： </w:t>
      </w:r>
    </w:p>
    <w:p w14:paraId="0D8FBAE7"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
          <w:color w:val="000000"/>
          <w:kern w:val="0"/>
          <w:sz w:val="24"/>
        </w:rPr>
        <w:t xml:space="preserve">　 </w:t>
      </w:r>
      <w:r w:rsidRPr="004C41E1">
        <w:rPr>
          <w:rFonts w:ascii="宋体" w:hAnsi="宋体" w:hint="eastAsia"/>
          <w:bCs/>
          <w:color w:val="000000"/>
          <w:kern w:val="0"/>
          <w:sz w:val="24"/>
        </w:rPr>
        <w:t xml:space="preserve"> （1） 资产负债率=负债总计/资产总计</w:t>
      </w:r>
    </w:p>
    <w:p w14:paraId="5E01E0B2"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（2）资本化比率=长期负债合计/（长期负债合计+所有者权益合计）</w:t>
      </w:r>
    </w:p>
    <w:p w14:paraId="0915F006"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（3） 固定资产净值率=固定资产净值/固定资产原值</w:t>
      </w:r>
    </w:p>
    <w:p w14:paraId="29A5C41D" w14:textId="77777777" w:rsidR="00125FFE" w:rsidRPr="004C41E1" w:rsidRDefault="00000000" w:rsidP="004C41E1">
      <w:pPr>
        <w:adjustRightInd w:val="0"/>
        <w:spacing w:line="360" w:lineRule="auto"/>
        <w:jc w:val="left"/>
        <w:rPr>
          <w:rFonts w:ascii="宋体" w:hAnsi="宋体"/>
          <w:b/>
          <w:color w:val="000000"/>
          <w:kern w:val="0"/>
          <w:sz w:val="24"/>
        </w:rPr>
      </w:pPr>
      <w:r w:rsidRPr="004C41E1">
        <w:rPr>
          <w:rFonts w:ascii="宋体" w:hAnsi="宋体" w:hint="eastAsia"/>
          <w:bCs/>
          <w:color w:val="000000"/>
          <w:kern w:val="0"/>
          <w:sz w:val="24"/>
        </w:rPr>
        <w:t xml:space="preserve">　　该指标反映了固定资产的新旧程度，指标</w:t>
      </w:r>
      <w:proofErr w:type="gramStart"/>
      <w:r w:rsidRPr="004C41E1">
        <w:rPr>
          <w:rFonts w:ascii="宋体" w:hAnsi="宋体" w:hint="eastAsia"/>
          <w:bCs/>
          <w:color w:val="000000"/>
          <w:kern w:val="0"/>
          <w:sz w:val="24"/>
        </w:rPr>
        <w:t>高设备</w:t>
      </w:r>
      <w:proofErr w:type="gramEnd"/>
      <w:r w:rsidRPr="004C41E1">
        <w:rPr>
          <w:rFonts w:ascii="宋体" w:hAnsi="宋体" w:hint="eastAsia"/>
          <w:bCs/>
          <w:color w:val="000000"/>
          <w:kern w:val="0"/>
          <w:sz w:val="24"/>
        </w:rPr>
        <w:t>新经营条件好，固定资产利</w:t>
      </w:r>
      <w:r w:rsidRPr="004C41E1">
        <w:rPr>
          <w:rFonts w:ascii="宋体" w:hAnsi="宋体" w:hint="eastAsia"/>
          <w:bCs/>
          <w:color w:val="000000"/>
          <w:kern w:val="0"/>
          <w:sz w:val="24"/>
        </w:rPr>
        <w:lastRenderedPageBreak/>
        <w:t>用率高。</w:t>
      </w:r>
    </w:p>
    <w:p w14:paraId="57614D46" w14:textId="77777777" w:rsidR="00125FFE" w:rsidRPr="004C41E1" w:rsidRDefault="00000000" w:rsidP="004C41E1">
      <w:pPr>
        <w:adjustRightInd w:val="0"/>
        <w:spacing w:line="360" w:lineRule="auto"/>
        <w:jc w:val="left"/>
        <w:rPr>
          <w:rFonts w:ascii="宋体" w:hAnsi="宋体"/>
          <w:b/>
          <w:color w:val="000000"/>
          <w:kern w:val="0"/>
          <w:sz w:val="24"/>
        </w:rPr>
      </w:pPr>
      <w:r w:rsidRPr="004C41E1">
        <w:rPr>
          <w:rFonts w:ascii="宋体" w:hAnsi="宋体" w:hint="eastAsia"/>
          <w:b/>
          <w:color w:val="000000"/>
          <w:kern w:val="0"/>
          <w:sz w:val="24"/>
        </w:rPr>
        <w:t xml:space="preserve">　   偿债能力分析 </w:t>
      </w:r>
    </w:p>
    <w:p w14:paraId="4ADE4DDF"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
          <w:color w:val="000000"/>
          <w:kern w:val="0"/>
          <w:sz w:val="24"/>
        </w:rPr>
        <w:t xml:space="preserve">　 </w:t>
      </w:r>
      <w:r w:rsidRPr="004C41E1">
        <w:rPr>
          <w:rFonts w:ascii="宋体" w:hAnsi="宋体" w:hint="eastAsia"/>
          <w:bCs/>
          <w:color w:val="000000"/>
          <w:kern w:val="0"/>
          <w:sz w:val="24"/>
        </w:rPr>
        <w:t xml:space="preserve"> （1） 短期偿债能力分析：</w:t>
      </w:r>
    </w:p>
    <w:p w14:paraId="4D5E3CE0"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1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①</w:t>
      </w:r>
      <w:r w:rsidRPr="004C41E1">
        <w:rPr>
          <w:rFonts w:ascii="宋体" w:hAnsi="宋体"/>
          <w:bCs/>
          <w:color w:val="000000"/>
          <w:kern w:val="0"/>
          <w:sz w:val="24"/>
        </w:rPr>
        <w:fldChar w:fldCharType="end"/>
      </w:r>
      <w:r w:rsidRPr="004C41E1">
        <w:rPr>
          <w:rFonts w:ascii="宋体" w:hAnsi="宋体" w:hint="eastAsia"/>
          <w:bCs/>
          <w:color w:val="000000"/>
          <w:kern w:val="0"/>
          <w:sz w:val="24"/>
        </w:rPr>
        <w:t>流动比率=流动资产/流动负债</w:t>
      </w:r>
    </w:p>
    <w:p w14:paraId="3352478D"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2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②</w:t>
      </w:r>
      <w:r w:rsidRPr="004C41E1">
        <w:rPr>
          <w:rFonts w:ascii="宋体" w:hAnsi="宋体"/>
          <w:bCs/>
          <w:color w:val="000000"/>
          <w:kern w:val="0"/>
          <w:sz w:val="24"/>
        </w:rPr>
        <w:fldChar w:fldCharType="end"/>
      </w:r>
      <w:r w:rsidRPr="004C41E1">
        <w:rPr>
          <w:rFonts w:ascii="宋体" w:hAnsi="宋体" w:hint="eastAsia"/>
          <w:bCs/>
          <w:color w:val="000000"/>
          <w:kern w:val="0"/>
          <w:sz w:val="24"/>
        </w:rPr>
        <w:t>速动比率=（现金+短期有价证券+应收</w:t>
      </w:r>
      <w:proofErr w:type="gramStart"/>
      <w:r w:rsidRPr="004C41E1">
        <w:rPr>
          <w:rFonts w:ascii="宋体" w:hAnsi="宋体" w:hint="eastAsia"/>
          <w:bCs/>
          <w:color w:val="000000"/>
          <w:kern w:val="0"/>
          <w:sz w:val="24"/>
        </w:rPr>
        <w:t>帐款</w:t>
      </w:r>
      <w:proofErr w:type="gramEnd"/>
      <w:r w:rsidRPr="004C41E1">
        <w:rPr>
          <w:rFonts w:ascii="宋体" w:hAnsi="宋体" w:hint="eastAsia"/>
          <w:bCs/>
          <w:color w:val="000000"/>
          <w:kern w:val="0"/>
          <w:sz w:val="24"/>
        </w:rPr>
        <w:t>净额）/流动负债</w:t>
      </w:r>
    </w:p>
    <w:p w14:paraId="768FAE75"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3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③</w:t>
      </w:r>
      <w:r w:rsidRPr="004C41E1">
        <w:rPr>
          <w:rFonts w:ascii="宋体" w:hAnsi="宋体"/>
          <w:bCs/>
          <w:color w:val="000000"/>
          <w:kern w:val="0"/>
          <w:sz w:val="24"/>
        </w:rPr>
        <w:fldChar w:fldCharType="end"/>
      </w:r>
      <w:r w:rsidRPr="004C41E1">
        <w:rPr>
          <w:rFonts w:ascii="宋体" w:hAnsi="宋体" w:hint="eastAsia"/>
          <w:bCs/>
          <w:color w:val="000000"/>
          <w:kern w:val="0"/>
          <w:sz w:val="24"/>
        </w:rPr>
        <w:t>现金比率=现金及等价物/流动资产</w:t>
      </w:r>
    </w:p>
    <w:p w14:paraId="0124AE3A"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4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④</w:t>
      </w:r>
      <w:r w:rsidRPr="004C41E1">
        <w:rPr>
          <w:rFonts w:ascii="宋体" w:hAnsi="宋体"/>
          <w:bCs/>
          <w:color w:val="000000"/>
          <w:kern w:val="0"/>
          <w:sz w:val="24"/>
        </w:rPr>
        <w:fldChar w:fldCharType="end"/>
      </w:r>
      <w:r w:rsidRPr="004C41E1">
        <w:rPr>
          <w:rFonts w:ascii="宋体" w:hAnsi="宋体" w:hint="eastAsia"/>
          <w:bCs/>
          <w:color w:val="000000"/>
          <w:kern w:val="0"/>
          <w:sz w:val="24"/>
        </w:rPr>
        <w:t>现金对流动负债的比率=现金及等价物/流动负债</w:t>
      </w:r>
    </w:p>
    <w:p w14:paraId="773C93F3"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5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⑤</w:t>
      </w:r>
      <w:r w:rsidRPr="004C41E1">
        <w:rPr>
          <w:rFonts w:ascii="宋体" w:hAnsi="宋体"/>
          <w:bCs/>
          <w:color w:val="000000"/>
          <w:kern w:val="0"/>
          <w:sz w:val="24"/>
        </w:rPr>
        <w:fldChar w:fldCharType="end"/>
      </w:r>
      <w:r w:rsidRPr="004C41E1">
        <w:rPr>
          <w:rFonts w:ascii="宋体" w:hAnsi="宋体" w:hint="eastAsia"/>
          <w:bCs/>
          <w:color w:val="000000"/>
          <w:kern w:val="0"/>
          <w:sz w:val="24"/>
        </w:rPr>
        <w:t>应收</w:t>
      </w:r>
      <w:proofErr w:type="gramStart"/>
      <w:r w:rsidRPr="004C41E1">
        <w:rPr>
          <w:rFonts w:ascii="宋体" w:hAnsi="宋体" w:hint="eastAsia"/>
          <w:bCs/>
          <w:color w:val="000000"/>
          <w:kern w:val="0"/>
          <w:sz w:val="24"/>
        </w:rPr>
        <w:t>帐款</w:t>
      </w:r>
      <w:proofErr w:type="gramEnd"/>
      <w:r w:rsidRPr="004C41E1">
        <w:rPr>
          <w:rFonts w:ascii="宋体" w:hAnsi="宋体" w:hint="eastAsia"/>
          <w:bCs/>
          <w:color w:val="000000"/>
          <w:kern w:val="0"/>
          <w:sz w:val="24"/>
        </w:rPr>
        <w:t>周转率=赊销净额/应收</w:t>
      </w:r>
      <w:proofErr w:type="gramStart"/>
      <w:r w:rsidRPr="004C41E1">
        <w:rPr>
          <w:rFonts w:ascii="宋体" w:hAnsi="宋体" w:hint="eastAsia"/>
          <w:bCs/>
          <w:color w:val="000000"/>
          <w:kern w:val="0"/>
          <w:sz w:val="24"/>
        </w:rPr>
        <w:t>帐款</w:t>
      </w:r>
      <w:proofErr w:type="gramEnd"/>
      <w:r w:rsidRPr="004C41E1">
        <w:rPr>
          <w:rFonts w:ascii="宋体" w:hAnsi="宋体" w:hint="eastAsia"/>
          <w:bCs/>
          <w:color w:val="000000"/>
          <w:kern w:val="0"/>
          <w:sz w:val="24"/>
        </w:rPr>
        <w:t>平均余额</w:t>
      </w:r>
    </w:p>
    <w:p w14:paraId="6A04C9E9"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6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⑥</w:t>
      </w:r>
      <w:r w:rsidRPr="004C41E1">
        <w:rPr>
          <w:rFonts w:ascii="宋体" w:hAnsi="宋体"/>
          <w:bCs/>
          <w:color w:val="000000"/>
          <w:kern w:val="0"/>
          <w:sz w:val="24"/>
        </w:rPr>
        <w:fldChar w:fldCharType="end"/>
      </w:r>
      <w:r w:rsidRPr="004C41E1">
        <w:rPr>
          <w:rFonts w:ascii="宋体" w:hAnsi="宋体" w:hint="eastAsia"/>
          <w:bCs/>
          <w:color w:val="000000"/>
          <w:kern w:val="0"/>
          <w:sz w:val="24"/>
        </w:rPr>
        <w:t>存货周转率=营业成本/存货平均余额</w:t>
      </w:r>
    </w:p>
    <w:p w14:paraId="54C2E5F5"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（2）长期偿债能力分析：反映企业长期债务状况</w:t>
      </w:r>
    </w:p>
    <w:p w14:paraId="53FCBA93"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1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①</w:t>
      </w:r>
      <w:r w:rsidRPr="004C41E1">
        <w:rPr>
          <w:rFonts w:ascii="宋体" w:hAnsi="宋体"/>
          <w:bCs/>
          <w:color w:val="000000"/>
          <w:kern w:val="0"/>
          <w:sz w:val="24"/>
        </w:rPr>
        <w:fldChar w:fldCharType="end"/>
      </w:r>
      <w:r w:rsidRPr="004C41E1">
        <w:rPr>
          <w:rFonts w:ascii="宋体" w:hAnsi="宋体" w:hint="eastAsia"/>
          <w:bCs/>
          <w:color w:val="000000"/>
          <w:kern w:val="0"/>
          <w:sz w:val="24"/>
        </w:rPr>
        <w:t>股东权益比率=股东权益总额/资产总额</w:t>
      </w:r>
    </w:p>
    <w:p w14:paraId="218E79B0" w14:textId="77777777" w:rsidR="00125FFE" w:rsidRPr="004C41E1" w:rsidRDefault="00000000" w:rsidP="004C41E1">
      <w:pPr>
        <w:adjustRightIn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w:t>
      </w:r>
      <w:r w:rsidRPr="004C41E1">
        <w:rPr>
          <w:rFonts w:ascii="宋体" w:hAnsi="宋体"/>
          <w:bCs/>
          <w:color w:val="000000"/>
          <w:kern w:val="0"/>
          <w:sz w:val="24"/>
        </w:rPr>
        <w:fldChar w:fldCharType="begin"/>
      </w:r>
      <w:r w:rsidRPr="004C41E1">
        <w:rPr>
          <w:rFonts w:ascii="宋体" w:hAnsi="宋体"/>
          <w:bCs/>
          <w:color w:val="000000"/>
          <w:kern w:val="0"/>
          <w:sz w:val="24"/>
        </w:rPr>
        <w:instrText xml:space="preserve"> </w:instrText>
      </w:r>
      <w:r w:rsidRPr="004C41E1">
        <w:rPr>
          <w:rFonts w:ascii="宋体" w:hAnsi="宋体" w:hint="eastAsia"/>
          <w:bCs/>
          <w:color w:val="000000"/>
          <w:kern w:val="0"/>
          <w:sz w:val="24"/>
        </w:rPr>
        <w:instrText>= 2 \* GB3</w:instrText>
      </w:r>
      <w:r w:rsidRPr="004C41E1">
        <w:rPr>
          <w:rFonts w:ascii="宋体" w:hAnsi="宋体"/>
          <w:bCs/>
          <w:color w:val="000000"/>
          <w:kern w:val="0"/>
          <w:sz w:val="24"/>
        </w:rPr>
        <w:instrText xml:space="preserve"> </w:instrText>
      </w:r>
      <w:r w:rsidRPr="004C41E1">
        <w:rPr>
          <w:rFonts w:ascii="宋体" w:hAnsi="宋体"/>
          <w:bCs/>
          <w:color w:val="000000"/>
          <w:kern w:val="0"/>
          <w:sz w:val="24"/>
        </w:rPr>
        <w:fldChar w:fldCharType="separate"/>
      </w:r>
      <w:r w:rsidRPr="004C41E1">
        <w:rPr>
          <w:rFonts w:ascii="宋体" w:hAnsi="宋体" w:hint="eastAsia"/>
          <w:bCs/>
          <w:color w:val="000000"/>
          <w:kern w:val="0"/>
          <w:sz w:val="24"/>
        </w:rPr>
        <w:t>②</w:t>
      </w:r>
      <w:r w:rsidRPr="004C41E1">
        <w:rPr>
          <w:rFonts w:ascii="宋体" w:hAnsi="宋体"/>
          <w:bCs/>
          <w:color w:val="000000"/>
          <w:kern w:val="0"/>
          <w:sz w:val="24"/>
        </w:rPr>
        <w:fldChar w:fldCharType="end"/>
      </w:r>
      <w:r w:rsidRPr="004C41E1">
        <w:rPr>
          <w:rFonts w:ascii="宋体" w:hAnsi="宋体" w:hint="eastAsia"/>
          <w:bCs/>
          <w:color w:val="000000"/>
          <w:kern w:val="0"/>
          <w:sz w:val="24"/>
        </w:rPr>
        <w:t>长期负债比率=长期负债/资产总额</w:t>
      </w:r>
    </w:p>
    <w:p w14:paraId="71DF1812" w14:textId="77777777" w:rsidR="00125FFE" w:rsidRPr="004C41E1" w:rsidRDefault="00000000" w:rsidP="004C41E1">
      <w:pPr>
        <w:adjustRightInd w:val="0"/>
        <w:snapToGrid w:val="0"/>
        <w:spacing w:line="360" w:lineRule="auto"/>
        <w:ind w:firstLineChars="100" w:firstLine="240"/>
        <w:jc w:val="left"/>
        <w:rPr>
          <w:rFonts w:ascii="宋体" w:hAnsi="宋体"/>
          <w:b/>
          <w:color w:val="000000"/>
          <w:kern w:val="0"/>
          <w:sz w:val="24"/>
        </w:rPr>
      </w:pPr>
      <w:r w:rsidRPr="004C41E1">
        <w:rPr>
          <w:rFonts w:ascii="宋体" w:hAnsi="宋体" w:hint="eastAsia"/>
          <w:bCs/>
          <w:color w:val="000000"/>
          <w:kern w:val="0"/>
          <w:sz w:val="24"/>
        </w:rPr>
        <w:t xml:space="preserve">　</w:t>
      </w:r>
      <w:r w:rsidRPr="004C41E1">
        <w:rPr>
          <w:rFonts w:ascii="宋体" w:hAnsi="宋体" w:hint="eastAsia"/>
          <w:b/>
          <w:color w:val="000000"/>
          <w:kern w:val="0"/>
          <w:sz w:val="24"/>
        </w:rPr>
        <w:t xml:space="preserve">3）经营能力分析 </w:t>
      </w:r>
    </w:p>
    <w:p w14:paraId="16AB6127" w14:textId="77777777" w:rsidR="00125FFE" w:rsidRPr="004C41E1" w:rsidRDefault="00000000" w:rsidP="004C41E1">
      <w:pPr>
        <w:adjustRightInd w:val="0"/>
        <w:snapToGrid w:val="0"/>
        <w:spacing w:line="360" w:lineRule="auto"/>
        <w:ind w:firstLineChars="300" w:firstLine="720"/>
        <w:jc w:val="left"/>
        <w:rPr>
          <w:rFonts w:ascii="宋体" w:hAnsi="宋体"/>
          <w:b/>
          <w:color w:val="000000"/>
          <w:kern w:val="0"/>
          <w:sz w:val="24"/>
        </w:rPr>
      </w:pPr>
      <w:r w:rsidRPr="004C41E1">
        <w:rPr>
          <w:rFonts w:ascii="宋体" w:hAnsi="宋体" w:hint="eastAsia"/>
          <w:bCs/>
          <w:color w:val="000000"/>
          <w:kern w:val="0"/>
          <w:sz w:val="24"/>
        </w:rPr>
        <w:t>这是衡量企业资产运作和管理效率的财务指标</w:t>
      </w:r>
      <w:r w:rsidRPr="004C41E1">
        <w:rPr>
          <w:rFonts w:ascii="宋体" w:hAnsi="宋体" w:hint="eastAsia"/>
          <w:b/>
          <w:color w:val="000000"/>
          <w:kern w:val="0"/>
          <w:sz w:val="24"/>
        </w:rPr>
        <w:t>。</w:t>
      </w:r>
    </w:p>
    <w:p w14:paraId="47BADD53" w14:textId="77777777" w:rsidR="00125FFE" w:rsidRPr="004C41E1" w:rsidRDefault="00000000" w:rsidP="004C41E1">
      <w:pPr>
        <w:adjustRightInd w:val="0"/>
        <w:snapToGrid w:val="0"/>
        <w:spacing w:line="360" w:lineRule="auto"/>
        <w:ind w:firstLineChars="100" w:firstLine="241"/>
        <w:jc w:val="left"/>
        <w:rPr>
          <w:rFonts w:ascii="宋体" w:hAnsi="宋体"/>
          <w:bCs/>
          <w:color w:val="000000"/>
          <w:kern w:val="0"/>
          <w:sz w:val="24"/>
        </w:rPr>
      </w:pPr>
      <w:r w:rsidRPr="004C41E1">
        <w:rPr>
          <w:rFonts w:ascii="宋体" w:hAnsi="宋体" w:hint="eastAsia"/>
          <w:b/>
          <w:color w:val="000000"/>
          <w:kern w:val="0"/>
          <w:sz w:val="24"/>
        </w:rPr>
        <w:t xml:space="preserve">　　</w:t>
      </w:r>
      <w:r w:rsidRPr="004C41E1">
        <w:rPr>
          <w:rFonts w:ascii="宋体" w:hAnsi="宋体" w:hint="eastAsia"/>
          <w:bCs/>
          <w:color w:val="000000"/>
          <w:kern w:val="0"/>
          <w:sz w:val="24"/>
        </w:rPr>
        <w:t>具体有（1）现金周转率（2）应收</w:t>
      </w:r>
      <w:proofErr w:type="gramStart"/>
      <w:r w:rsidRPr="004C41E1">
        <w:rPr>
          <w:rFonts w:ascii="宋体" w:hAnsi="宋体" w:hint="eastAsia"/>
          <w:bCs/>
          <w:color w:val="000000"/>
          <w:kern w:val="0"/>
          <w:sz w:val="24"/>
        </w:rPr>
        <w:t>帐款</w:t>
      </w:r>
      <w:proofErr w:type="gramEnd"/>
      <w:r w:rsidRPr="004C41E1">
        <w:rPr>
          <w:rFonts w:ascii="宋体" w:hAnsi="宋体" w:hint="eastAsia"/>
          <w:bCs/>
          <w:color w:val="000000"/>
          <w:kern w:val="0"/>
          <w:sz w:val="24"/>
        </w:rPr>
        <w:t>周转天数（3）存货周转天数（4）营业周期（5）总资产周转率。</w:t>
      </w:r>
    </w:p>
    <w:p w14:paraId="66C98FEB" w14:textId="77777777" w:rsidR="00125FFE" w:rsidRPr="004C41E1" w:rsidRDefault="00000000" w:rsidP="004C41E1">
      <w:pPr>
        <w:adjustRightInd w:val="0"/>
        <w:snapToGrid w:val="0"/>
        <w:spacing w:line="360" w:lineRule="auto"/>
        <w:jc w:val="left"/>
        <w:rPr>
          <w:rFonts w:ascii="宋体" w:hAnsi="宋体"/>
          <w:b/>
          <w:color w:val="000000"/>
          <w:kern w:val="0"/>
          <w:sz w:val="24"/>
        </w:rPr>
      </w:pPr>
      <w:r w:rsidRPr="004C41E1">
        <w:rPr>
          <w:rFonts w:ascii="宋体" w:hAnsi="宋体" w:hint="eastAsia"/>
          <w:b/>
          <w:color w:val="000000"/>
          <w:kern w:val="0"/>
          <w:sz w:val="24"/>
        </w:rPr>
        <w:t xml:space="preserve">　</w:t>
      </w:r>
      <w:r w:rsidRPr="004C41E1">
        <w:rPr>
          <w:rFonts w:ascii="宋体" w:hAnsi="宋体" w:hint="eastAsia"/>
          <w:bCs/>
          <w:color w:val="000000"/>
          <w:kern w:val="0"/>
          <w:sz w:val="24"/>
        </w:rPr>
        <w:t xml:space="preserve">　</w:t>
      </w:r>
      <w:r w:rsidRPr="004C41E1">
        <w:rPr>
          <w:rFonts w:ascii="宋体" w:hAnsi="宋体" w:hint="eastAsia"/>
          <w:b/>
          <w:color w:val="000000"/>
          <w:kern w:val="0"/>
          <w:sz w:val="24"/>
        </w:rPr>
        <w:t xml:space="preserve">4）获利能力分析 </w:t>
      </w:r>
    </w:p>
    <w:p w14:paraId="5DA3113F" w14:textId="77777777" w:rsidR="00125FFE" w:rsidRPr="004C41E1" w:rsidRDefault="00000000" w:rsidP="004C41E1">
      <w:pPr>
        <w:adjustRightInd w:val="0"/>
        <w:snapToGrid w:val="0"/>
        <w:spacing w:line="360" w:lineRule="auto"/>
        <w:jc w:val="left"/>
        <w:rPr>
          <w:rFonts w:ascii="宋体" w:hAnsi="宋体"/>
          <w:bCs/>
          <w:color w:val="000000"/>
          <w:kern w:val="0"/>
          <w:sz w:val="24"/>
        </w:rPr>
      </w:pPr>
      <w:r w:rsidRPr="004C41E1">
        <w:rPr>
          <w:rFonts w:ascii="宋体" w:hAnsi="宋体" w:hint="eastAsia"/>
          <w:b/>
          <w:color w:val="000000"/>
          <w:kern w:val="0"/>
          <w:sz w:val="24"/>
        </w:rPr>
        <w:t xml:space="preserve">　　</w:t>
      </w:r>
      <w:r w:rsidRPr="004C41E1">
        <w:rPr>
          <w:rFonts w:ascii="宋体" w:hAnsi="宋体" w:hint="eastAsia"/>
          <w:bCs/>
          <w:color w:val="000000"/>
          <w:kern w:val="0"/>
          <w:sz w:val="24"/>
        </w:rPr>
        <w:t>获利能力的考察主要是利用损益表数据进行判断，收入与费用是决定获利能力的基本因素。主要指标包括：</w:t>
      </w:r>
    </w:p>
    <w:p w14:paraId="53D986C9" w14:textId="77777777" w:rsidR="00125FFE" w:rsidRPr="004C41E1" w:rsidRDefault="00000000" w:rsidP="004C41E1">
      <w:pPr>
        <w:adjustRightInd w:val="0"/>
        <w:snapToGri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（1）主营业务利润率=主营业务利润/主营业务成本 </w:t>
      </w:r>
    </w:p>
    <w:p w14:paraId="5B14B23F" w14:textId="77777777" w:rsidR="00125FFE" w:rsidRPr="004C41E1" w:rsidRDefault="00000000" w:rsidP="004C41E1">
      <w:pPr>
        <w:adjustRightInd w:val="0"/>
        <w:snapToGri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（2）销售净利率=净利/销售收入 </w:t>
      </w:r>
    </w:p>
    <w:p w14:paraId="440703F0" w14:textId="77777777" w:rsidR="00125FFE" w:rsidRPr="004C41E1" w:rsidRDefault="00000000" w:rsidP="004C41E1">
      <w:pPr>
        <w:adjustRightInd w:val="0"/>
        <w:snapToGri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（3）资产收益率=净利润/平均资产总额</w:t>
      </w:r>
    </w:p>
    <w:p w14:paraId="5C2EDAFD" w14:textId="77777777" w:rsidR="00125FFE" w:rsidRPr="004C41E1" w:rsidRDefault="00000000" w:rsidP="004C41E1">
      <w:pPr>
        <w:adjustRightInd w:val="0"/>
        <w:snapToGrid w:val="0"/>
        <w:spacing w:line="360" w:lineRule="auto"/>
        <w:jc w:val="left"/>
        <w:rPr>
          <w:rFonts w:ascii="宋体" w:hAnsi="宋体"/>
          <w:bCs/>
          <w:color w:val="000000"/>
          <w:kern w:val="0"/>
          <w:sz w:val="24"/>
        </w:rPr>
      </w:pPr>
      <w:r w:rsidRPr="004C41E1">
        <w:rPr>
          <w:rFonts w:ascii="宋体" w:hAnsi="宋体" w:hint="eastAsia"/>
          <w:bCs/>
          <w:color w:val="000000"/>
          <w:kern w:val="0"/>
          <w:sz w:val="24"/>
        </w:rPr>
        <w:t xml:space="preserve">　　（4）市盈率=每股市价/每股收益</w:t>
      </w:r>
    </w:p>
    <w:p w14:paraId="0C93FCB9" w14:textId="77777777" w:rsidR="00125FFE" w:rsidRPr="004C41E1" w:rsidRDefault="00000000" w:rsidP="004C41E1">
      <w:pPr>
        <w:adjustRightInd w:val="0"/>
        <w:snapToGrid w:val="0"/>
        <w:spacing w:line="360" w:lineRule="auto"/>
        <w:ind w:firstLine="420"/>
        <w:jc w:val="left"/>
        <w:rPr>
          <w:rFonts w:ascii="宋体" w:hAnsi="宋体"/>
          <w:bCs/>
          <w:color w:val="000000"/>
          <w:kern w:val="0"/>
          <w:sz w:val="24"/>
        </w:rPr>
      </w:pPr>
      <w:r w:rsidRPr="004C41E1">
        <w:rPr>
          <w:rFonts w:ascii="宋体" w:hAnsi="宋体" w:hint="eastAsia"/>
          <w:bCs/>
          <w:color w:val="000000"/>
          <w:kern w:val="0"/>
          <w:sz w:val="24"/>
        </w:rPr>
        <w:t>该指标是市场对公司股票质地认识与评价的指标。</w:t>
      </w:r>
    </w:p>
    <w:p w14:paraId="6D082B34" w14:textId="4009634C" w:rsidR="00125FFE" w:rsidRPr="004C41E1" w:rsidRDefault="00000000" w:rsidP="004C41E1">
      <w:pPr>
        <w:adjustRightInd w:val="0"/>
        <w:snapToGrid w:val="0"/>
        <w:spacing w:line="360" w:lineRule="auto"/>
        <w:ind w:firstLine="420"/>
        <w:jc w:val="left"/>
        <w:rPr>
          <w:rFonts w:ascii="宋体" w:hAnsi="宋体" w:hint="eastAsia"/>
          <w:b/>
          <w:color w:val="000000"/>
          <w:kern w:val="0"/>
          <w:sz w:val="24"/>
        </w:rPr>
      </w:pPr>
      <w:r w:rsidRPr="004C41E1">
        <w:rPr>
          <w:rFonts w:ascii="宋体" w:hAnsi="宋体" w:hint="eastAsia"/>
          <w:bCs/>
          <w:color w:val="000000"/>
          <w:kern w:val="0"/>
          <w:sz w:val="24"/>
        </w:rPr>
        <w:t>很显然基本面分析的核心要素是公司预期收益</w:t>
      </w:r>
    </w:p>
    <w:p w14:paraId="6D6E6DC3" w14:textId="77777777" w:rsidR="00125FFE" w:rsidRPr="004C41E1" w:rsidRDefault="00000000" w:rsidP="004C41E1">
      <w:pPr>
        <w:spacing w:line="360" w:lineRule="auto"/>
        <w:rPr>
          <w:rFonts w:ascii="宋体" w:hAnsi="宋体"/>
          <w:sz w:val="24"/>
        </w:rPr>
      </w:pPr>
      <w:r w:rsidRPr="004C41E1">
        <w:rPr>
          <w:rFonts w:ascii="宋体" w:hAnsi="宋体" w:hint="eastAsia"/>
          <w:b/>
          <w:sz w:val="24"/>
        </w:rPr>
        <w:t xml:space="preserve">     2、技术分析法，</w:t>
      </w:r>
      <w:r w:rsidRPr="004C41E1">
        <w:rPr>
          <w:rFonts w:ascii="宋体" w:hAnsi="宋体" w:hint="eastAsia"/>
          <w:sz w:val="24"/>
        </w:rPr>
        <w:t>是指从股票的成交量、价格、达到这些价格和成交量所用的时间、价格波动的空间等几个方面分析走势并预测未来。即：量、价、时、空是技术分析的四大要素。</w:t>
      </w:r>
    </w:p>
    <w:p w14:paraId="4075C60E" w14:textId="77777777" w:rsidR="00125FFE" w:rsidRPr="004C41E1" w:rsidRDefault="00000000" w:rsidP="004C41E1">
      <w:pPr>
        <w:snapToGrid w:val="0"/>
        <w:spacing w:line="360" w:lineRule="auto"/>
        <w:rPr>
          <w:rFonts w:ascii="宋体" w:hAnsi="宋体"/>
          <w:b/>
          <w:sz w:val="24"/>
        </w:rPr>
      </w:pPr>
      <w:r w:rsidRPr="004C41E1">
        <w:rPr>
          <w:rFonts w:ascii="宋体" w:hAnsi="宋体" w:hint="eastAsia"/>
          <w:sz w:val="24"/>
        </w:rPr>
        <w:t xml:space="preserve">      </w:t>
      </w:r>
      <w:r w:rsidRPr="004C41E1">
        <w:rPr>
          <w:rFonts w:ascii="宋体" w:hAnsi="宋体" w:hint="eastAsia"/>
          <w:b/>
          <w:sz w:val="24"/>
        </w:rPr>
        <w:t>技术分析的理论基础：三个假设</w:t>
      </w:r>
    </w:p>
    <w:p w14:paraId="013BD670" w14:textId="77777777" w:rsidR="00125FFE" w:rsidRPr="004C41E1" w:rsidRDefault="00000000" w:rsidP="004C41E1">
      <w:pPr>
        <w:snapToGrid w:val="0"/>
        <w:spacing w:line="360" w:lineRule="auto"/>
        <w:ind w:firstLineChars="300" w:firstLine="720"/>
        <w:rPr>
          <w:rFonts w:ascii="宋体" w:hAnsi="宋体"/>
          <w:sz w:val="24"/>
        </w:rPr>
      </w:pPr>
      <w:r w:rsidRPr="004C41E1">
        <w:rPr>
          <w:rFonts w:ascii="宋体" w:hAnsi="宋体" w:hint="eastAsia"/>
          <w:sz w:val="24"/>
        </w:rPr>
        <w:t>1、市场行为包括一切信息</w:t>
      </w:r>
    </w:p>
    <w:p w14:paraId="6F9E47DF" w14:textId="77777777" w:rsidR="00125FFE" w:rsidRPr="004C41E1" w:rsidRDefault="00000000" w:rsidP="004C41E1">
      <w:pPr>
        <w:snapToGrid w:val="0"/>
        <w:spacing w:line="360" w:lineRule="auto"/>
        <w:ind w:firstLineChars="250" w:firstLine="600"/>
        <w:rPr>
          <w:rFonts w:ascii="宋体" w:hAnsi="宋体"/>
          <w:sz w:val="24"/>
        </w:rPr>
      </w:pPr>
      <w:r w:rsidRPr="004C41E1">
        <w:rPr>
          <w:rFonts w:ascii="宋体" w:hAnsi="宋体" w:hint="eastAsia"/>
          <w:sz w:val="24"/>
        </w:rPr>
        <w:lastRenderedPageBreak/>
        <w:t>该假设认为，影响证券价格变动的所有内外因素都将反映在市场行为中，没有必要对影响价格因素的具体内容给予过多的关心。</w:t>
      </w:r>
    </w:p>
    <w:p w14:paraId="26383744" w14:textId="77777777" w:rsidR="00125FFE" w:rsidRPr="004C41E1" w:rsidRDefault="00000000" w:rsidP="004C41E1">
      <w:pPr>
        <w:snapToGrid w:val="0"/>
        <w:spacing w:line="360" w:lineRule="auto"/>
        <w:ind w:firstLineChars="300" w:firstLine="720"/>
        <w:rPr>
          <w:rFonts w:ascii="宋体" w:hAnsi="宋体"/>
          <w:sz w:val="24"/>
        </w:rPr>
      </w:pPr>
      <w:r w:rsidRPr="004C41E1">
        <w:rPr>
          <w:rFonts w:ascii="宋体" w:hAnsi="宋体" w:hint="eastAsia"/>
          <w:sz w:val="24"/>
        </w:rPr>
        <w:t>2、价格</w:t>
      </w:r>
      <w:proofErr w:type="gramStart"/>
      <w:r w:rsidRPr="004C41E1">
        <w:rPr>
          <w:rFonts w:ascii="宋体" w:hAnsi="宋体" w:hint="eastAsia"/>
          <w:sz w:val="24"/>
        </w:rPr>
        <w:t>沿趋势</w:t>
      </w:r>
      <w:proofErr w:type="gramEnd"/>
      <w:r w:rsidRPr="004C41E1">
        <w:rPr>
          <w:rFonts w:ascii="宋体" w:hAnsi="宋体" w:hint="eastAsia"/>
          <w:sz w:val="24"/>
        </w:rPr>
        <w:t>波动，并保持趋势</w:t>
      </w:r>
    </w:p>
    <w:p w14:paraId="55ACF774" w14:textId="77777777" w:rsidR="00125FFE" w:rsidRPr="004C41E1" w:rsidRDefault="00000000" w:rsidP="004C41E1">
      <w:pPr>
        <w:snapToGrid w:val="0"/>
        <w:spacing w:line="360" w:lineRule="auto"/>
        <w:rPr>
          <w:rFonts w:ascii="宋体" w:hAnsi="宋体"/>
          <w:sz w:val="24"/>
        </w:rPr>
      </w:pPr>
      <w:r w:rsidRPr="004C41E1">
        <w:rPr>
          <w:rFonts w:ascii="宋体" w:hAnsi="宋体" w:hint="eastAsia"/>
          <w:sz w:val="24"/>
        </w:rPr>
        <w:t>该假设认为，价格沿一定规律进行，如果不出意外，没有理由改变原来已存在的运动方向。即“顺势而为”。</w:t>
      </w:r>
    </w:p>
    <w:p w14:paraId="679E0F7B" w14:textId="77777777" w:rsidR="00125FFE" w:rsidRPr="004C41E1" w:rsidRDefault="00000000" w:rsidP="004C41E1">
      <w:pPr>
        <w:snapToGrid w:val="0"/>
        <w:spacing w:line="360" w:lineRule="auto"/>
        <w:ind w:firstLineChars="300" w:firstLine="720"/>
        <w:rPr>
          <w:rFonts w:ascii="宋体" w:hAnsi="宋体"/>
          <w:sz w:val="24"/>
        </w:rPr>
      </w:pPr>
      <w:r w:rsidRPr="004C41E1">
        <w:rPr>
          <w:rFonts w:ascii="宋体" w:hAnsi="宋体" w:hint="eastAsia"/>
          <w:sz w:val="24"/>
        </w:rPr>
        <w:t>3、历史会重演</w:t>
      </w:r>
    </w:p>
    <w:p w14:paraId="35C4C291" w14:textId="77777777" w:rsidR="00125FFE" w:rsidRPr="004C41E1" w:rsidRDefault="00000000" w:rsidP="004C41E1">
      <w:pPr>
        <w:snapToGrid w:val="0"/>
        <w:spacing w:line="360" w:lineRule="auto"/>
        <w:ind w:firstLineChars="250" w:firstLine="600"/>
        <w:rPr>
          <w:rFonts w:ascii="宋体" w:hAnsi="宋体"/>
          <w:sz w:val="24"/>
        </w:rPr>
      </w:pPr>
      <w:r w:rsidRPr="004C41E1">
        <w:rPr>
          <w:rFonts w:ascii="宋体" w:hAnsi="宋体" w:hint="eastAsia"/>
          <w:sz w:val="24"/>
        </w:rPr>
        <w:t>该假设是从统计学和人的心理因素考虑的，市场行为者是人，决定最终是由创造者</w:t>
      </w:r>
      <w:proofErr w:type="gramStart"/>
      <w:r w:rsidRPr="004C41E1">
        <w:rPr>
          <w:rFonts w:ascii="宋体" w:hAnsi="宋体" w:hint="eastAsia"/>
          <w:sz w:val="24"/>
        </w:rPr>
        <w:t>作出</w:t>
      </w:r>
      <w:proofErr w:type="gramEnd"/>
      <w:r w:rsidRPr="004C41E1">
        <w:rPr>
          <w:rFonts w:ascii="宋体" w:hAnsi="宋体" w:hint="eastAsia"/>
          <w:sz w:val="24"/>
        </w:rPr>
        <w:t>的，既然是人，其行为必然要受到心理因素影响。一个人如用某种方法炒作成功，下一次定用同一种方法操作；如前一次失败，下一次会改变策略，即，“一遭被蛇咬，十年怕井绳”。</w:t>
      </w:r>
    </w:p>
    <w:p w14:paraId="58690932" w14:textId="77777777" w:rsidR="00125FFE" w:rsidRPr="004C41E1" w:rsidRDefault="00125FFE" w:rsidP="004C41E1">
      <w:pPr>
        <w:snapToGrid w:val="0"/>
        <w:spacing w:line="360" w:lineRule="auto"/>
        <w:ind w:firstLineChars="250" w:firstLine="600"/>
        <w:rPr>
          <w:rFonts w:ascii="宋体" w:hAnsi="宋体"/>
          <w:sz w:val="24"/>
        </w:rPr>
      </w:pPr>
    </w:p>
    <w:p w14:paraId="509298CE" w14:textId="77777777" w:rsidR="00125FFE" w:rsidRPr="004C41E1" w:rsidRDefault="00000000" w:rsidP="004C41E1">
      <w:pPr>
        <w:snapToGrid w:val="0"/>
        <w:spacing w:line="360" w:lineRule="auto"/>
        <w:ind w:firstLineChars="198" w:firstLine="477"/>
        <w:rPr>
          <w:rFonts w:ascii="宋体" w:hAnsi="宋体"/>
          <w:b/>
          <w:bCs/>
          <w:sz w:val="24"/>
        </w:rPr>
      </w:pPr>
      <w:r w:rsidRPr="004C41E1">
        <w:rPr>
          <w:rFonts w:ascii="宋体" w:hAnsi="宋体" w:cs="Arial" w:hint="eastAsia"/>
          <w:b/>
          <w:bCs/>
          <w:color w:val="333333"/>
          <w:sz w:val="24"/>
          <w:shd w:val="clear" w:color="auto" w:fill="FFFFFF"/>
        </w:rPr>
        <w:t>道氏理论</w:t>
      </w:r>
    </w:p>
    <w:p w14:paraId="22FD0848" w14:textId="77777777" w:rsidR="00125FFE" w:rsidRPr="004C41E1" w:rsidRDefault="00000000" w:rsidP="004C41E1">
      <w:pPr>
        <w:snapToGrid w:val="0"/>
        <w:spacing w:line="360" w:lineRule="auto"/>
        <w:rPr>
          <w:rFonts w:ascii="宋体" w:hAnsi="宋体" w:cs="Arial"/>
          <w:color w:val="333333"/>
          <w:sz w:val="24"/>
          <w:shd w:val="clear" w:color="auto" w:fill="FFFFFF"/>
        </w:rPr>
      </w:pPr>
      <w:r w:rsidRPr="004C41E1">
        <w:rPr>
          <w:rFonts w:ascii="宋体" w:hAnsi="宋体" w:hint="eastAsia"/>
          <w:sz w:val="24"/>
        </w:rPr>
        <w:t xml:space="preserve">    </w:t>
      </w:r>
      <w:r w:rsidRPr="004C41E1">
        <w:rPr>
          <w:rFonts w:ascii="宋体" w:hAnsi="宋体" w:cs="Arial" w:hint="eastAsia"/>
          <w:color w:val="333333"/>
          <w:sz w:val="24"/>
          <w:shd w:val="clear" w:color="auto" w:fill="FFFFFF"/>
        </w:rPr>
        <w:t>在技术分析领域，道氏理论是所有市场技术分析（Technical Analysis，包括波浪理论、江恩理论等）的鼻祖。</w:t>
      </w:r>
    </w:p>
    <w:p w14:paraId="603365C8" w14:textId="77777777" w:rsidR="00125FFE" w:rsidRPr="004C41E1" w:rsidRDefault="00000000" w:rsidP="004C41E1">
      <w:pPr>
        <w:snapToGrid w:val="0"/>
        <w:spacing w:line="360" w:lineRule="auto"/>
        <w:rPr>
          <w:rFonts w:ascii="宋体" w:hAnsi="宋体" w:cs="Arial"/>
          <w:color w:val="333333"/>
          <w:sz w:val="24"/>
          <w:shd w:val="clear" w:color="auto" w:fill="FFFFFF"/>
        </w:rPr>
      </w:pPr>
      <w:r w:rsidRPr="004C41E1">
        <w:rPr>
          <w:rFonts w:ascii="宋体" w:hAnsi="宋体" w:cs="Arial" w:hint="eastAsia"/>
          <w:color w:val="333333"/>
          <w:sz w:val="24"/>
          <w:shd w:val="clear" w:color="auto" w:fill="FFFFFF"/>
        </w:rPr>
        <w:t xml:space="preserve"> 道氏理论认为：</w:t>
      </w:r>
    </w:p>
    <w:p w14:paraId="2ED48944" w14:textId="77777777" w:rsidR="00125FFE" w:rsidRPr="004C41E1" w:rsidRDefault="00000000" w:rsidP="004C41E1">
      <w:pPr>
        <w:snapToGrid w:val="0"/>
        <w:spacing w:line="360" w:lineRule="auto"/>
        <w:rPr>
          <w:rFonts w:ascii="宋体" w:hAnsi="宋体"/>
          <w:sz w:val="24"/>
        </w:rPr>
      </w:pPr>
      <w:r w:rsidRPr="004C41E1">
        <w:rPr>
          <w:rFonts w:ascii="宋体" w:hAnsi="宋体" w:cs="Arial" w:hint="eastAsia"/>
          <w:color w:val="333333"/>
          <w:sz w:val="24"/>
          <w:shd w:val="clear" w:color="auto" w:fill="FFFFFF"/>
        </w:rPr>
        <w:t xml:space="preserve">  （1）</w:t>
      </w:r>
      <w:r w:rsidRPr="004C41E1">
        <w:rPr>
          <w:rFonts w:ascii="宋体" w:hAnsi="宋体" w:hint="eastAsia"/>
          <w:sz w:val="24"/>
        </w:rPr>
        <w:t>市场可分为三种趋势 即：基本趋势（长期趋势）、调整趋势（中期趋势）、小趋势（短期趋势）</w:t>
      </w:r>
    </w:p>
    <w:p w14:paraId="2AA2C6DA" w14:textId="77777777" w:rsidR="00125FFE" w:rsidRPr="004C41E1" w:rsidRDefault="00000000" w:rsidP="004C41E1">
      <w:pPr>
        <w:snapToGrid w:val="0"/>
        <w:spacing w:line="360" w:lineRule="auto"/>
        <w:ind w:firstLineChars="100" w:firstLine="240"/>
        <w:rPr>
          <w:rFonts w:ascii="宋体" w:hAnsi="宋体"/>
          <w:sz w:val="24"/>
        </w:rPr>
      </w:pPr>
      <w:r w:rsidRPr="004C41E1">
        <w:rPr>
          <w:rFonts w:ascii="宋体" w:hAnsi="宋体" w:hint="eastAsia"/>
          <w:sz w:val="24"/>
        </w:rPr>
        <w:t>（2）两种指数必须互相验证</w:t>
      </w:r>
    </w:p>
    <w:p w14:paraId="41B3682C" w14:textId="77777777" w:rsidR="00125FFE" w:rsidRPr="004C41E1" w:rsidRDefault="00000000" w:rsidP="004C41E1">
      <w:pPr>
        <w:snapToGrid w:val="0"/>
        <w:spacing w:line="360" w:lineRule="auto"/>
        <w:ind w:firstLineChars="100" w:firstLine="240"/>
        <w:rPr>
          <w:rFonts w:ascii="宋体" w:hAnsi="宋体"/>
          <w:sz w:val="24"/>
        </w:rPr>
      </w:pPr>
      <w:r w:rsidRPr="004C41E1">
        <w:rPr>
          <w:rFonts w:ascii="宋体" w:hAnsi="宋体" w:hint="eastAsia"/>
          <w:sz w:val="24"/>
        </w:rPr>
        <w:t>（3）交易量必须验证趋势</w:t>
      </w:r>
    </w:p>
    <w:p w14:paraId="1AB024B2" w14:textId="77777777" w:rsidR="00125FFE" w:rsidRPr="004C41E1" w:rsidRDefault="00000000" w:rsidP="004C41E1">
      <w:pPr>
        <w:snapToGrid w:val="0"/>
        <w:spacing w:line="360" w:lineRule="auto"/>
        <w:ind w:firstLineChars="100" w:firstLine="240"/>
        <w:rPr>
          <w:rFonts w:ascii="宋体" w:hAnsi="宋体"/>
          <w:sz w:val="24"/>
        </w:rPr>
      </w:pPr>
      <w:r w:rsidRPr="004C41E1">
        <w:rPr>
          <w:rFonts w:ascii="宋体" w:hAnsi="宋体" w:hint="eastAsia"/>
          <w:sz w:val="24"/>
        </w:rPr>
        <w:t>（4）收盘价最重要</w:t>
      </w:r>
    </w:p>
    <w:p w14:paraId="727C89CB" w14:textId="77777777" w:rsidR="00125FFE" w:rsidRPr="004C41E1" w:rsidRDefault="00125FFE" w:rsidP="004C41E1">
      <w:pPr>
        <w:snapToGrid w:val="0"/>
        <w:spacing w:line="360" w:lineRule="auto"/>
        <w:ind w:firstLineChars="100" w:firstLine="240"/>
        <w:rPr>
          <w:rFonts w:ascii="宋体" w:hAnsi="宋体"/>
          <w:sz w:val="24"/>
        </w:rPr>
      </w:pPr>
    </w:p>
    <w:p w14:paraId="2EBF1560" w14:textId="77777777" w:rsidR="00125FFE" w:rsidRPr="004C41E1" w:rsidRDefault="00000000" w:rsidP="004C41E1">
      <w:pPr>
        <w:spacing w:line="360" w:lineRule="auto"/>
        <w:ind w:firstLineChars="196" w:firstLine="472"/>
        <w:rPr>
          <w:rFonts w:ascii="宋体" w:hAnsi="宋体"/>
          <w:b/>
          <w:sz w:val="24"/>
        </w:rPr>
      </w:pPr>
      <w:r w:rsidRPr="004C41E1">
        <w:rPr>
          <w:rFonts w:ascii="宋体" w:hAnsi="宋体" w:hint="eastAsia"/>
          <w:b/>
          <w:sz w:val="24"/>
        </w:rPr>
        <w:t>波浪理论</w:t>
      </w:r>
    </w:p>
    <w:p w14:paraId="73A3DB9D" w14:textId="77777777" w:rsidR="00125FFE" w:rsidRPr="004C41E1" w:rsidRDefault="00000000" w:rsidP="004C41E1">
      <w:pPr>
        <w:spacing w:line="360" w:lineRule="auto"/>
        <w:ind w:firstLineChars="200" w:firstLine="480"/>
        <w:rPr>
          <w:rFonts w:ascii="宋体" w:hAnsi="宋体"/>
          <w:bCs/>
          <w:sz w:val="24"/>
        </w:rPr>
      </w:pPr>
      <w:r w:rsidRPr="004C41E1">
        <w:rPr>
          <w:rFonts w:ascii="宋体" w:hAnsi="宋体" w:hint="eastAsia"/>
          <w:bCs/>
          <w:sz w:val="24"/>
        </w:rPr>
        <w:t>美国的经济学家，著名的技术分析大师艾略特提出了关于股票和商品价格变动趋势的理论——波浪理论。艾略特最初的波浪理论是以周期为基础的，每个周期都是由上升（或下降）的5个过程和下降（或上升）的3个过程。比如：从牛市到熊市的完成，包括了5个上升浪和3个下降浪，共计8个波浪，如图：</w:t>
      </w:r>
    </w:p>
    <w:p w14:paraId="702D0AC5" w14:textId="77777777" w:rsidR="00125FFE" w:rsidRPr="004C41E1" w:rsidRDefault="00000000" w:rsidP="004C41E1">
      <w:pPr>
        <w:spacing w:line="360" w:lineRule="auto"/>
        <w:ind w:firstLineChars="200" w:firstLine="482"/>
        <w:jc w:val="center"/>
        <w:rPr>
          <w:rFonts w:ascii="宋体" w:hAnsi="宋体"/>
          <w:b/>
          <w:sz w:val="24"/>
        </w:rPr>
      </w:pPr>
      <w:r w:rsidRPr="004C41E1">
        <w:rPr>
          <w:rFonts w:ascii="宋体" w:hAnsi="宋体" w:hint="eastAsia"/>
          <w:b/>
          <w:noProof/>
          <w:sz w:val="24"/>
        </w:rPr>
        <w:lastRenderedPageBreak/>
        <w:drawing>
          <wp:inline distT="0" distB="0" distL="0" distR="0" wp14:anchorId="02B2E75C" wp14:editId="24625372">
            <wp:extent cx="2933700" cy="1724025"/>
            <wp:effectExtent l="0" t="0" r="0" b="9525"/>
            <wp:docPr id="3" name="图片 3" descr="未标题-6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未标题-6 拷贝"/>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933700" cy="1724025"/>
                    </a:xfrm>
                    <a:prstGeom prst="rect">
                      <a:avLst/>
                    </a:prstGeom>
                    <a:noFill/>
                    <a:ln>
                      <a:noFill/>
                    </a:ln>
                  </pic:spPr>
                </pic:pic>
              </a:graphicData>
            </a:graphic>
          </wp:inline>
        </w:drawing>
      </w:r>
    </w:p>
    <w:p w14:paraId="0B0327C6" w14:textId="77777777" w:rsidR="00125FFE" w:rsidRPr="004C41E1" w:rsidRDefault="00000000" w:rsidP="004C41E1">
      <w:pPr>
        <w:snapToGrid w:val="0"/>
        <w:spacing w:line="360" w:lineRule="auto"/>
        <w:ind w:firstLineChars="100" w:firstLine="240"/>
        <w:rPr>
          <w:rFonts w:ascii="宋体" w:hAnsi="宋体"/>
          <w:sz w:val="24"/>
        </w:rPr>
      </w:pPr>
      <w:r w:rsidRPr="004C41E1">
        <w:rPr>
          <w:rFonts w:ascii="宋体" w:hAnsi="宋体" w:hint="eastAsia"/>
          <w:bCs/>
          <w:sz w:val="24"/>
        </w:rPr>
        <w:t>在波浪理论中，一般第3浪是最长的推动浪</w:t>
      </w:r>
    </w:p>
    <w:p w14:paraId="13198251" w14:textId="77777777" w:rsidR="00125FFE" w:rsidRPr="004C41E1" w:rsidRDefault="00125FFE" w:rsidP="004C41E1">
      <w:pPr>
        <w:snapToGrid w:val="0"/>
        <w:spacing w:line="360" w:lineRule="auto"/>
        <w:ind w:firstLineChars="100" w:firstLine="240"/>
        <w:rPr>
          <w:rFonts w:ascii="宋体" w:hAnsi="宋体"/>
          <w:sz w:val="24"/>
        </w:rPr>
      </w:pPr>
    </w:p>
    <w:p w14:paraId="54A9176B" w14:textId="77777777" w:rsidR="00125FFE" w:rsidRPr="004C41E1" w:rsidRDefault="00000000" w:rsidP="004C41E1">
      <w:pPr>
        <w:snapToGrid w:val="0"/>
        <w:spacing w:line="360" w:lineRule="auto"/>
        <w:ind w:firstLineChars="247" w:firstLine="595"/>
        <w:rPr>
          <w:rFonts w:ascii="宋体" w:hAnsi="宋体" w:cs="Arial"/>
          <w:b/>
          <w:bCs/>
          <w:color w:val="333333"/>
          <w:sz w:val="24"/>
          <w:shd w:val="clear" w:color="auto" w:fill="FFFFFF"/>
        </w:rPr>
      </w:pPr>
      <w:r w:rsidRPr="004C41E1">
        <w:rPr>
          <w:rFonts w:ascii="宋体" w:hAnsi="宋体" w:cs="Arial" w:hint="eastAsia"/>
          <w:b/>
          <w:bCs/>
          <w:color w:val="333333"/>
          <w:sz w:val="24"/>
          <w:shd w:val="clear" w:color="auto" w:fill="FFFFFF"/>
        </w:rPr>
        <w:t>K线理论</w:t>
      </w:r>
    </w:p>
    <w:p w14:paraId="75F45456" w14:textId="77777777" w:rsidR="00125FFE" w:rsidRPr="004C41E1" w:rsidRDefault="00000000" w:rsidP="004C41E1">
      <w:pPr>
        <w:spacing w:line="360" w:lineRule="auto"/>
        <w:rPr>
          <w:rFonts w:ascii="宋体" w:hAnsi="宋体"/>
          <w:sz w:val="24"/>
        </w:rPr>
      </w:pPr>
      <w:r w:rsidRPr="004C41E1">
        <w:rPr>
          <w:rFonts w:ascii="宋体" w:hAnsi="宋体" w:hint="eastAsia"/>
          <w:sz w:val="24"/>
        </w:rPr>
        <w:t xml:space="preserve">     K线是一条柱状的线条，</w:t>
      </w:r>
      <w:proofErr w:type="gramStart"/>
      <w:r w:rsidRPr="004C41E1">
        <w:rPr>
          <w:rFonts w:ascii="宋体" w:hAnsi="宋体" w:hint="eastAsia"/>
          <w:sz w:val="24"/>
        </w:rPr>
        <w:t>由影线</w:t>
      </w:r>
      <w:proofErr w:type="gramEnd"/>
      <w:r w:rsidRPr="004C41E1">
        <w:rPr>
          <w:rFonts w:ascii="宋体" w:hAnsi="宋体" w:hint="eastAsia"/>
          <w:sz w:val="24"/>
        </w:rPr>
        <w:t>和实体组成，包括开盘价、收盘价、</w:t>
      </w:r>
      <w:proofErr w:type="gramStart"/>
      <w:r w:rsidRPr="004C41E1">
        <w:rPr>
          <w:rFonts w:ascii="宋体" w:hAnsi="宋体" w:hint="eastAsia"/>
          <w:sz w:val="24"/>
        </w:rPr>
        <w:t>最</w:t>
      </w:r>
      <w:proofErr w:type="gramEnd"/>
      <w:r w:rsidRPr="004C41E1">
        <w:rPr>
          <w:rFonts w:ascii="宋体" w:hAnsi="宋体" w:hint="eastAsia"/>
          <w:sz w:val="24"/>
        </w:rPr>
        <w:t>高价、最低价四个价格。影线在实体上方的部分叫上影线，下方的部分叫下影线。</w:t>
      </w:r>
    </w:p>
    <w:p w14:paraId="395459BC"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实体分阴险和</w:t>
      </w:r>
      <w:proofErr w:type="gramStart"/>
      <w:r w:rsidRPr="004C41E1">
        <w:rPr>
          <w:rFonts w:ascii="宋体" w:hAnsi="宋体" w:hint="eastAsia"/>
          <w:sz w:val="24"/>
        </w:rPr>
        <w:t>阳线</w:t>
      </w:r>
      <w:proofErr w:type="gramEnd"/>
      <w:r w:rsidRPr="004C41E1">
        <w:rPr>
          <w:rFonts w:ascii="宋体" w:hAnsi="宋体" w:hint="eastAsia"/>
          <w:sz w:val="24"/>
        </w:rPr>
        <w:t>两种，又称红（阳）线，即收盘价大于开盘价和黑（阴）线，即收盘价小于开盘价。</w:t>
      </w:r>
    </w:p>
    <w:p w14:paraId="740349C0" w14:textId="77777777" w:rsidR="00125FFE" w:rsidRPr="004C41E1" w:rsidRDefault="00000000" w:rsidP="004C41E1">
      <w:pPr>
        <w:spacing w:line="360" w:lineRule="auto"/>
        <w:rPr>
          <w:rFonts w:ascii="宋体" w:hAnsi="宋体"/>
          <w:sz w:val="24"/>
        </w:rPr>
      </w:pPr>
      <w:r w:rsidRPr="004C41E1">
        <w:rPr>
          <w:rFonts w:ascii="宋体" w:hAnsi="宋体" w:hint="eastAsia"/>
          <w:sz w:val="24"/>
        </w:rPr>
        <w:t xml:space="preserve">    单根K线分析：</w:t>
      </w:r>
    </w:p>
    <w:p w14:paraId="3D313D64" w14:textId="77777777" w:rsidR="00125FFE" w:rsidRPr="004C41E1" w:rsidRDefault="00000000" w:rsidP="004C41E1">
      <w:pPr>
        <w:spacing w:line="360" w:lineRule="auto"/>
        <w:ind w:firstLineChars="200" w:firstLine="480"/>
        <w:rPr>
          <w:rFonts w:ascii="宋体" w:hAnsi="宋体"/>
          <w:sz w:val="24"/>
        </w:rPr>
      </w:pPr>
      <w:r w:rsidRPr="004C41E1">
        <w:rPr>
          <w:rFonts w:ascii="宋体" w:hAnsi="宋体" w:hint="eastAsia"/>
          <w:sz w:val="24"/>
        </w:rPr>
        <w:t>“一看阴阳”，阴阳代表趋势方向，阳线表示将继续上涨，阴线表示将继续下跌。</w:t>
      </w:r>
    </w:p>
    <w:p w14:paraId="250CFBDF" w14:textId="5BB475A4" w:rsidR="00125FFE" w:rsidRPr="004C41E1" w:rsidRDefault="00000000" w:rsidP="004C41E1">
      <w:pPr>
        <w:spacing w:line="360" w:lineRule="auto"/>
        <w:rPr>
          <w:rFonts w:ascii="宋体" w:hAnsi="宋体"/>
          <w:sz w:val="24"/>
        </w:rPr>
      </w:pPr>
      <w:r w:rsidRPr="004C41E1">
        <w:rPr>
          <w:rFonts w:ascii="宋体" w:hAnsi="宋体" w:hint="eastAsia"/>
          <w:sz w:val="24"/>
        </w:rPr>
        <w:t xml:space="preserve">　 "二看实体大小"，实体大小代表内在动力，实体越大，上涨或下跌的趋势越是明显，反之趋势则不明显。</w:t>
      </w:r>
    </w:p>
    <w:p w14:paraId="7E276BFB" w14:textId="77777777" w:rsidR="00125FFE" w:rsidRPr="004C41E1" w:rsidRDefault="00000000" w:rsidP="004C41E1">
      <w:pPr>
        <w:spacing w:line="360" w:lineRule="auto"/>
        <w:ind w:firstLine="420"/>
        <w:rPr>
          <w:rFonts w:ascii="宋体" w:hAnsi="宋体"/>
          <w:sz w:val="24"/>
        </w:rPr>
      </w:pPr>
      <w:r w:rsidRPr="004C41E1">
        <w:rPr>
          <w:rFonts w:ascii="宋体" w:hAnsi="宋体" w:hint="eastAsia"/>
          <w:sz w:val="24"/>
        </w:rPr>
        <w:t>“三看影线长短”，影线代表转折信号，向一个方向的影线越长，越不利于股价向这个方向变动，即上影线越长，越不利于股价上涨，下影线越长，越不利于股价下跌。</w:t>
      </w:r>
    </w:p>
    <w:p w14:paraId="49667172" w14:textId="77777777" w:rsidR="00125FFE" w:rsidRPr="004C41E1" w:rsidRDefault="00125FFE" w:rsidP="004C41E1">
      <w:pPr>
        <w:spacing w:line="360" w:lineRule="auto"/>
        <w:ind w:firstLine="420"/>
        <w:rPr>
          <w:rFonts w:ascii="宋体" w:hAnsi="宋体"/>
          <w:sz w:val="24"/>
        </w:rPr>
      </w:pPr>
    </w:p>
    <w:p w14:paraId="7A1B0697" w14:textId="77777777" w:rsidR="00125FFE" w:rsidRPr="004C41E1" w:rsidRDefault="00000000" w:rsidP="004C41E1">
      <w:pPr>
        <w:snapToGrid w:val="0"/>
        <w:spacing w:line="360" w:lineRule="auto"/>
        <w:ind w:firstLineChars="247" w:firstLine="595"/>
        <w:rPr>
          <w:rFonts w:ascii="宋体" w:hAnsi="宋体" w:cs="Arial"/>
          <w:b/>
          <w:bCs/>
          <w:color w:val="333333"/>
          <w:sz w:val="24"/>
          <w:shd w:val="clear" w:color="auto" w:fill="FFFFFF"/>
        </w:rPr>
      </w:pPr>
      <w:r w:rsidRPr="004C41E1">
        <w:rPr>
          <w:rFonts w:ascii="宋体" w:hAnsi="宋体" w:cs="Arial" w:hint="eastAsia"/>
          <w:b/>
          <w:bCs/>
          <w:color w:val="333333"/>
          <w:sz w:val="24"/>
          <w:shd w:val="clear" w:color="auto" w:fill="FFFFFF"/>
        </w:rPr>
        <w:t>切线理论</w:t>
      </w:r>
    </w:p>
    <w:p w14:paraId="79D8C96F" w14:textId="77777777" w:rsidR="00125FFE" w:rsidRPr="004C41E1" w:rsidRDefault="00000000" w:rsidP="004C41E1">
      <w:pPr>
        <w:spacing w:line="360" w:lineRule="auto"/>
        <w:ind w:firstLine="420"/>
        <w:rPr>
          <w:rFonts w:ascii="宋体" w:hAnsi="宋体"/>
          <w:sz w:val="24"/>
        </w:rPr>
      </w:pPr>
      <w:r w:rsidRPr="004C41E1">
        <w:rPr>
          <w:rFonts w:ascii="宋体" w:hAnsi="宋体" w:hint="eastAsia"/>
          <w:sz w:val="24"/>
        </w:rPr>
        <w:t>按一定方法和原则在由股票价格数据所绘制的图表中画出一些直线，然后根据这些直线的情况推测股票价格的未来趋势（趋势的方向有上升方向 、下降方向、水平方向） 这些直线称之为切线。据切线进行的技术分析理论称之为切线理论。</w:t>
      </w:r>
    </w:p>
    <w:p w14:paraId="0CB4ADD3" w14:textId="77777777" w:rsidR="00125FFE" w:rsidRPr="004C41E1" w:rsidRDefault="00125FFE" w:rsidP="004C41E1">
      <w:pPr>
        <w:snapToGrid w:val="0"/>
        <w:spacing w:line="360" w:lineRule="auto"/>
        <w:rPr>
          <w:rFonts w:ascii="宋体" w:hAnsi="宋体"/>
          <w:bCs/>
          <w:sz w:val="24"/>
        </w:rPr>
      </w:pPr>
    </w:p>
    <w:p w14:paraId="0A7D2CEE" w14:textId="77777777" w:rsidR="00125FFE" w:rsidRPr="004C41E1" w:rsidRDefault="00000000" w:rsidP="004C41E1">
      <w:pPr>
        <w:snapToGrid w:val="0"/>
        <w:spacing w:line="360" w:lineRule="auto"/>
        <w:ind w:firstLineChars="247" w:firstLine="595"/>
        <w:rPr>
          <w:rFonts w:ascii="宋体" w:hAnsi="宋体" w:cs="Arial"/>
          <w:b/>
          <w:bCs/>
          <w:color w:val="333333"/>
          <w:sz w:val="24"/>
          <w:shd w:val="clear" w:color="auto" w:fill="FFFFFF"/>
        </w:rPr>
      </w:pPr>
      <w:r w:rsidRPr="004C41E1">
        <w:rPr>
          <w:rFonts w:ascii="宋体" w:hAnsi="宋体" w:cs="Arial" w:hint="eastAsia"/>
          <w:b/>
          <w:bCs/>
          <w:color w:val="333333"/>
          <w:sz w:val="24"/>
          <w:shd w:val="clear" w:color="auto" w:fill="FFFFFF"/>
        </w:rPr>
        <w:t>债券收益率</w:t>
      </w:r>
    </w:p>
    <w:p w14:paraId="7F315F8E" w14:textId="77777777" w:rsidR="00125FFE" w:rsidRPr="004C41E1" w:rsidRDefault="00000000" w:rsidP="004C41E1">
      <w:pPr>
        <w:snapToGrid w:val="0"/>
        <w:spacing w:line="360" w:lineRule="auto"/>
        <w:ind w:firstLineChars="200" w:firstLine="480"/>
        <w:rPr>
          <w:rFonts w:ascii="宋体" w:hAnsi="宋体"/>
          <w:bCs/>
          <w:sz w:val="24"/>
        </w:rPr>
      </w:pPr>
      <w:r w:rsidRPr="004C41E1">
        <w:rPr>
          <w:rFonts w:ascii="宋体" w:hAnsi="宋体" w:hint="eastAsia"/>
          <w:bCs/>
          <w:sz w:val="24"/>
        </w:rPr>
        <w:t>债券收益率是投资于债券上每年产生出的收益总额与投资本金总量之间的</w:t>
      </w:r>
      <w:r w:rsidRPr="004C41E1">
        <w:rPr>
          <w:rFonts w:ascii="宋体" w:hAnsi="宋体" w:hint="eastAsia"/>
          <w:bCs/>
          <w:sz w:val="24"/>
        </w:rPr>
        <w:lastRenderedPageBreak/>
        <w:t>比率。债券收益率有三种：（1）当期收益率；（2）到期收益率；（3）提前赎回收益率。</w:t>
      </w:r>
    </w:p>
    <w:p w14:paraId="242BB429" w14:textId="77777777" w:rsidR="00125FFE" w:rsidRPr="004C41E1" w:rsidRDefault="00000000" w:rsidP="004C41E1">
      <w:pPr>
        <w:snapToGrid w:val="0"/>
        <w:spacing w:line="360" w:lineRule="auto"/>
        <w:ind w:firstLineChars="200" w:firstLine="480"/>
        <w:rPr>
          <w:rFonts w:ascii="宋体" w:hAnsi="宋体"/>
          <w:bCs/>
          <w:sz w:val="24"/>
        </w:rPr>
      </w:pPr>
      <w:r w:rsidRPr="004C41E1">
        <w:rPr>
          <w:rFonts w:ascii="宋体" w:hAnsi="宋体" w:hint="eastAsia"/>
          <w:bCs/>
          <w:sz w:val="24"/>
        </w:rPr>
        <w:t>（1）当期收益率又称直接收益率，是指利息收入所产生的收益，通常每年支付两次，它占了公司债券所产生收益的大部分。当</w:t>
      </w:r>
    </w:p>
    <w:p w14:paraId="3BAB6030" w14:textId="77777777" w:rsidR="00125FFE" w:rsidRPr="004C41E1" w:rsidRDefault="00000000" w:rsidP="004C41E1">
      <w:pPr>
        <w:snapToGrid w:val="0"/>
        <w:spacing w:line="360" w:lineRule="auto"/>
        <w:ind w:firstLineChars="200" w:firstLine="480"/>
        <w:rPr>
          <w:rFonts w:ascii="宋体" w:hAnsi="宋体"/>
          <w:bCs/>
          <w:sz w:val="24"/>
        </w:rPr>
      </w:pPr>
      <w:r w:rsidRPr="004C41E1">
        <w:rPr>
          <w:rFonts w:ascii="宋体" w:hAnsi="宋体" w:hint="eastAsia"/>
          <w:bCs/>
          <w:sz w:val="24"/>
        </w:rPr>
        <w:t>公式：当期收益率=（债券面额×票面收益率）/债券当前市场价格</w:t>
      </w:r>
    </w:p>
    <w:p w14:paraId="3895DC5E" w14:textId="77777777" w:rsidR="00125FFE" w:rsidRPr="004C41E1" w:rsidRDefault="00000000" w:rsidP="004C41E1">
      <w:pPr>
        <w:snapToGrid w:val="0"/>
        <w:spacing w:line="360" w:lineRule="auto"/>
        <w:ind w:firstLineChars="200" w:firstLine="480"/>
        <w:rPr>
          <w:rFonts w:ascii="宋体" w:hAnsi="宋体"/>
          <w:bCs/>
          <w:sz w:val="24"/>
        </w:rPr>
      </w:pPr>
      <w:r w:rsidRPr="004C41E1">
        <w:rPr>
          <w:rFonts w:ascii="宋体" w:hAnsi="宋体" w:hint="eastAsia"/>
          <w:bCs/>
          <w:sz w:val="24"/>
        </w:rPr>
        <w:t>（2）到期收益率是指投资者持有债券到期时，企业或者政府会进行还本付息，其到期计算收益率。</w:t>
      </w:r>
    </w:p>
    <w:p w14:paraId="6833CE33" w14:textId="77777777" w:rsidR="00125FFE" w:rsidRPr="004C41E1" w:rsidRDefault="00000000" w:rsidP="004C41E1">
      <w:pPr>
        <w:snapToGrid w:val="0"/>
        <w:spacing w:line="360" w:lineRule="auto"/>
        <w:ind w:firstLineChars="200" w:firstLine="480"/>
        <w:rPr>
          <w:rFonts w:ascii="宋体" w:hAnsi="宋体"/>
          <w:bCs/>
          <w:sz w:val="24"/>
        </w:rPr>
      </w:pPr>
      <w:r w:rsidRPr="004C41E1">
        <w:rPr>
          <w:rFonts w:ascii="宋体" w:hAnsi="宋体" w:hint="eastAsia"/>
          <w:bCs/>
          <w:sz w:val="24"/>
        </w:rPr>
        <w:t>公式：到期收益率＝（收回金额－购买价格＋总利息）／（购买价格×到期时间）</w:t>
      </w:r>
    </w:p>
    <w:p w14:paraId="267A6261" w14:textId="77777777" w:rsidR="00125FFE" w:rsidRPr="004C41E1" w:rsidRDefault="00000000" w:rsidP="004C41E1">
      <w:pPr>
        <w:snapToGrid w:val="0"/>
        <w:spacing w:line="360" w:lineRule="auto"/>
        <w:ind w:firstLineChars="200" w:firstLine="480"/>
        <w:rPr>
          <w:rFonts w:ascii="宋体" w:hAnsi="宋体"/>
          <w:bCs/>
          <w:sz w:val="24"/>
        </w:rPr>
      </w:pPr>
      <w:r w:rsidRPr="004C41E1">
        <w:rPr>
          <w:rFonts w:ascii="宋体" w:hAnsi="宋体" w:hint="eastAsia"/>
          <w:bCs/>
          <w:sz w:val="24"/>
        </w:rPr>
        <w:t>（3）提前赎回收益率是指债券发行人在债券规定到期日之前赎回债券时投资人所取得的收益率。</w:t>
      </w:r>
    </w:p>
    <w:p w14:paraId="401CF3A3" w14:textId="77777777" w:rsidR="00125FFE" w:rsidRPr="004C41E1" w:rsidRDefault="00000000" w:rsidP="004C41E1">
      <w:pPr>
        <w:snapToGrid w:val="0"/>
        <w:spacing w:line="360" w:lineRule="auto"/>
        <w:ind w:firstLineChars="100" w:firstLine="240"/>
        <w:rPr>
          <w:rFonts w:ascii="宋体" w:hAnsi="宋体"/>
          <w:bCs/>
          <w:sz w:val="24"/>
        </w:rPr>
      </w:pPr>
      <w:r w:rsidRPr="004C41E1">
        <w:rPr>
          <w:rFonts w:ascii="宋体" w:hAnsi="宋体" w:hint="eastAsia"/>
          <w:bCs/>
          <w:sz w:val="24"/>
        </w:rPr>
        <w:t xml:space="preserve">  公式：到期收益率=（收回金额-购买价格+利息）/购买价格</w:t>
      </w:r>
    </w:p>
    <w:p w14:paraId="31BB8A3C" w14:textId="77777777" w:rsidR="00125FFE" w:rsidRPr="004C41E1" w:rsidRDefault="00125FFE">
      <w:pPr>
        <w:snapToGrid w:val="0"/>
        <w:rPr>
          <w:rFonts w:ascii="宋体" w:hAnsi="宋体"/>
          <w:bCs/>
          <w:sz w:val="24"/>
        </w:rPr>
      </w:pPr>
    </w:p>
    <w:sectPr w:rsidR="00125FFE" w:rsidRPr="004C41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F91C1"/>
    <w:multiLevelType w:val="singleLevel"/>
    <w:tmpl w:val="1FDF91C1"/>
    <w:lvl w:ilvl="0">
      <w:start w:val="3"/>
      <w:numFmt w:val="chineseCounting"/>
      <w:suff w:val="nothing"/>
      <w:lvlText w:val="（%1）"/>
      <w:lvlJc w:val="left"/>
      <w:rPr>
        <w:rFonts w:hint="eastAsia"/>
      </w:rPr>
    </w:lvl>
  </w:abstractNum>
  <w:num w:numId="1" w16cid:durableId="985016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kzM2U5MTc2MTk2NmM3NTI0ODQ1NmVjY2Q3OGQ0MjIifQ=="/>
  </w:docVars>
  <w:rsids>
    <w:rsidRoot w:val="001C0B6E"/>
    <w:rsid w:val="00125FFE"/>
    <w:rsid w:val="001C0B6E"/>
    <w:rsid w:val="0022156B"/>
    <w:rsid w:val="00245F6B"/>
    <w:rsid w:val="00453380"/>
    <w:rsid w:val="004C41E1"/>
    <w:rsid w:val="00601AEF"/>
    <w:rsid w:val="00694761"/>
    <w:rsid w:val="00996B46"/>
    <w:rsid w:val="00A0090B"/>
    <w:rsid w:val="00A20C9C"/>
    <w:rsid w:val="00A510BC"/>
    <w:rsid w:val="00A82627"/>
    <w:rsid w:val="00AC0460"/>
    <w:rsid w:val="00B83FB0"/>
    <w:rsid w:val="00BC52B3"/>
    <w:rsid w:val="00C047F3"/>
    <w:rsid w:val="00E85271"/>
    <w:rsid w:val="00FA1414"/>
    <w:rsid w:val="0164762D"/>
    <w:rsid w:val="154D6477"/>
    <w:rsid w:val="22E27CF1"/>
    <w:rsid w:val="2CFD76B3"/>
    <w:rsid w:val="360B24A4"/>
    <w:rsid w:val="4601628E"/>
    <w:rsid w:val="5C9026A8"/>
    <w:rsid w:val="5E295DE8"/>
    <w:rsid w:val="69780BAE"/>
    <w:rsid w:val="71712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50194F"/>
  <w15:docId w15:val="{F0B6E404-CA8B-45EF-833D-4E46A781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autoSpaceDE w:val="0"/>
      <w:autoSpaceDN w:val="0"/>
      <w:adjustRightInd w:val="0"/>
      <w:ind w:left="270" w:hanging="270"/>
      <w:jc w:val="left"/>
      <w:outlineLvl w:val="1"/>
    </w:pPr>
    <w:rPr>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unhideWhenUsed/>
    <w:qFormat/>
    <w:rPr>
      <w:rFonts w:ascii="宋体" w:hAnsi="Courier New"/>
      <w:szCs w:val="20"/>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qFormat/>
    <w:rPr>
      <w:rFonts w:ascii="Times New Roman" w:eastAsia="宋体" w:hAnsi="Times New Roman" w:cs="Times New Roman"/>
      <w:kern w:val="2"/>
      <w:sz w:val="18"/>
      <w:szCs w:val="18"/>
    </w:rPr>
  </w:style>
  <w:style w:type="character" w:customStyle="1" w:styleId="a7">
    <w:name w:val="页脚 字符"/>
    <w:basedOn w:val="a0"/>
    <w:link w:val="a6"/>
    <w:uiPriority w:val="99"/>
    <w:qFormat/>
    <w:rPr>
      <w:rFonts w:ascii="Times New Roman" w:eastAsia="宋体" w:hAnsi="Times New Roman" w:cs="Times New Roman"/>
      <w:kern w:val="2"/>
      <w:sz w:val="18"/>
      <w:szCs w:val="18"/>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rPr>
  </w:style>
  <w:style w:type="paragraph" w:styleId="aa">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704</Words>
  <Characters>4017</Characters>
  <Application>Microsoft Office Word</Application>
  <DocSecurity>0</DocSecurity>
  <Lines>33</Lines>
  <Paragraphs>9</Paragraphs>
  <ScaleCrop>false</ScaleCrop>
  <Company>Microsoft</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Liu Haolin</cp:lastModifiedBy>
  <cp:revision>4</cp:revision>
  <dcterms:created xsi:type="dcterms:W3CDTF">2021-12-13T14:41:00Z</dcterms:created>
  <dcterms:modified xsi:type="dcterms:W3CDTF">2022-12-15T09:13:00Z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38075EEF2C4A4A609676BF3B6AEEBE73</vt:lpwstr>
  </property>
</Properties>
</file>