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D2" w:rsidRPr="001A7DCC" w:rsidRDefault="003C5C50">
      <w:pPr>
        <w:spacing w:before="100" w:line="230" w:lineRule="auto"/>
        <w:ind w:left="17"/>
        <w:rPr>
          <w:rFonts w:ascii="SimHei" w:hAnsi="SimHei" w:cs="SimHei" w:hint="eastAsia"/>
          <w:sz w:val="31"/>
          <w:szCs w:val="31"/>
        </w:rPr>
      </w:pPr>
      <w:r>
        <w:rPr>
          <w:rFonts w:ascii="SimHei" w:eastAsia="SimHei" w:hAnsi="SimHei" w:cs="SimHei"/>
          <w:spacing w:val="-15"/>
          <w:sz w:val="31"/>
          <w:szCs w:val="31"/>
        </w:rPr>
        <w:t>附</w:t>
      </w:r>
      <w:r>
        <w:rPr>
          <w:rFonts w:ascii="SimHei" w:eastAsia="SimHei" w:hAnsi="SimHei" w:cs="SimHei"/>
          <w:spacing w:val="-14"/>
          <w:sz w:val="31"/>
          <w:szCs w:val="31"/>
        </w:rPr>
        <w:t>件</w:t>
      </w:r>
      <w:r w:rsidR="001A7DCC">
        <w:rPr>
          <w:rFonts w:ascii="SimHei" w:hAnsi="SimHei" w:cs="SimHei" w:hint="eastAsia"/>
          <w:spacing w:val="-14"/>
          <w:sz w:val="31"/>
          <w:szCs w:val="31"/>
        </w:rPr>
        <w:t>2</w:t>
      </w:r>
    </w:p>
    <w:p w:rsidR="004C73D2" w:rsidRDefault="004C73D2">
      <w:pPr>
        <w:spacing w:line="261" w:lineRule="auto"/>
      </w:pPr>
    </w:p>
    <w:p w:rsidR="004C73D2" w:rsidRDefault="004C73D2">
      <w:pPr>
        <w:spacing w:line="262" w:lineRule="auto"/>
      </w:pPr>
    </w:p>
    <w:p w:rsidR="00921219" w:rsidRDefault="003C5C50" w:rsidP="00921219">
      <w:pPr>
        <w:spacing w:before="185" w:line="215" w:lineRule="auto"/>
        <w:ind w:left="2102" w:right="342" w:hanging="1837"/>
        <w:jc w:val="center"/>
        <w:rPr>
          <w:rFonts w:ascii="Microsoft YaHei" w:hAnsi="Microsoft YaHei" w:cs="Microsoft YaHei" w:hint="eastAsia"/>
          <w:sz w:val="43"/>
          <w:szCs w:val="43"/>
        </w:rPr>
      </w:pPr>
      <w:r>
        <w:rPr>
          <w:rFonts w:ascii="Microsoft YaHei" w:eastAsia="Microsoft YaHei" w:hAnsi="Microsoft YaHei" w:cs="Microsoft YaHei"/>
          <w:spacing w:val="-29"/>
          <w:sz w:val="43"/>
          <w:szCs w:val="43"/>
        </w:rPr>
        <w:t>2</w:t>
      </w:r>
      <w:r>
        <w:rPr>
          <w:rFonts w:ascii="Microsoft YaHei" w:eastAsia="Microsoft YaHei" w:hAnsi="Microsoft YaHei" w:cs="Microsoft YaHei"/>
          <w:spacing w:val="-15"/>
          <w:sz w:val="43"/>
          <w:szCs w:val="43"/>
        </w:rPr>
        <w:t>023 年湖南省职业教育“楚怡”重点攻关项目</w:t>
      </w:r>
    </w:p>
    <w:p w:rsidR="004C73D2" w:rsidRDefault="003C5C50" w:rsidP="00921219">
      <w:pPr>
        <w:spacing w:before="185" w:line="215" w:lineRule="auto"/>
        <w:ind w:left="2102" w:right="342" w:hanging="1837"/>
        <w:jc w:val="center"/>
        <w:rPr>
          <w:rFonts w:ascii="Microsoft YaHei" w:eastAsia="Microsoft YaHei" w:hAnsi="Microsoft YaHei" w:cs="Microsoft YaHei"/>
          <w:sz w:val="43"/>
          <w:szCs w:val="43"/>
        </w:rPr>
      </w:pPr>
      <w:r>
        <w:rPr>
          <w:rFonts w:ascii="Microsoft YaHei" w:eastAsia="Microsoft YaHei" w:hAnsi="Microsoft YaHei" w:cs="Microsoft YaHei"/>
          <w:spacing w:val="16"/>
          <w:sz w:val="43"/>
          <w:szCs w:val="43"/>
        </w:rPr>
        <w:t>选</w:t>
      </w:r>
      <w:r>
        <w:rPr>
          <w:rFonts w:ascii="Microsoft YaHei" w:eastAsia="Microsoft YaHei" w:hAnsi="Microsoft YaHei" w:cs="Microsoft YaHei"/>
          <w:spacing w:val="9"/>
          <w:sz w:val="43"/>
          <w:szCs w:val="43"/>
        </w:rPr>
        <w:t>题范围及成果产出要求</w:t>
      </w:r>
    </w:p>
    <w:p w:rsidR="004C73D2" w:rsidRDefault="004C73D2">
      <w:pPr>
        <w:spacing w:line="477" w:lineRule="auto"/>
      </w:pPr>
    </w:p>
    <w:p w:rsidR="004C73D2" w:rsidRDefault="003C5C50">
      <w:pPr>
        <w:spacing w:before="100" w:line="421" w:lineRule="exact"/>
        <w:ind w:left="654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7"/>
          <w:position w:val="1"/>
          <w:sz w:val="31"/>
          <w:szCs w:val="31"/>
        </w:rPr>
        <w:t>1.职业教育法治化建设研</w:t>
      </w:r>
      <w:r>
        <w:rPr>
          <w:rFonts w:ascii="SimHei" w:eastAsia="SimHei" w:hAnsi="SimHei" w:cs="SimHei"/>
          <w:spacing w:val="6"/>
          <w:position w:val="1"/>
          <w:sz w:val="31"/>
          <w:szCs w:val="31"/>
        </w:rPr>
        <w:t>究</w:t>
      </w:r>
    </w:p>
    <w:p w:rsidR="004C73D2" w:rsidRDefault="003C5C50">
      <w:pPr>
        <w:spacing w:before="176" w:line="358" w:lineRule="auto"/>
        <w:ind w:left="13" w:right="71" w:firstLine="63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t>成果包括但不限于：《湖</w:t>
      </w:r>
      <w:r>
        <w:rPr>
          <w:rFonts w:ascii="FangSong" w:eastAsia="FangSong" w:hAnsi="FangSong" w:cs="FangSong"/>
          <w:spacing w:val="1"/>
          <w:sz w:val="31"/>
          <w:szCs w:val="31"/>
        </w:rPr>
        <w:t>南省职业教育条例草案》《湖南省职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6"/>
          <w:sz w:val="31"/>
          <w:szCs w:val="31"/>
        </w:rPr>
        <w:t>业教育</w:t>
      </w:r>
      <w:r>
        <w:rPr>
          <w:rFonts w:ascii="FangSong" w:eastAsia="FangSong" w:hAnsi="FangSong" w:cs="FangSong"/>
          <w:spacing w:val="-5"/>
          <w:sz w:val="31"/>
          <w:szCs w:val="31"/>
        </w:rPr>
        <w:t>条</w:t>
      </w:r>
      <w:r>
        <w:rPr>
          <w:rFonts w:ascii="FangSong" w:eastAsia="FangSong" w:hAnsi="FangSong" w:cs="FangSong"/>
          <w:spacing w:val="-3"/>
          <w:sz w:val="31"/>
          <w:szCs w:val="31"/>
        </w:rPr>
        <w:t>例释义》《湖南省职业教育条例起草说明》。</w:t>
      </w:r>
    </w:p>
    <w:p w:rsidR="004C73D2" w:rsidRDefault="003C5C50">
      <w:pPr>
        <w:spacing w:line="421" w:lineRule="exact"/>
        <w:ind w:left="635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16"/>
          <w:position w:val="1"/>
          <w:sz w:val="31"/>
          <w:szCs w:val="31"/>
        </w:rPr>
        <w:t>2</w:t>
      </w:r>
      <w:r>
        <w:rPr>
          <w:rFonts w:ascii="SimHei" w:eastAsia="SimHei" w:hAnsi="SimHei" w:cs="SimHei"/>
          <w:spacing w:val="10"/>
          <w:position w:val="1"/>
          <w:sz w:val="31"/>
          <w:szCs w:val="31"/>
        </w:rPr>
        <w:t>.</w:t>
      </w:r>
      <w:r>
        <w:rPr>
          <w:rFonts w:ascii="SimHei" w:eastAsia="SimHei" w:hAnsi="SimHei" w:cs="SimHei"/>
          <w:spacing w:val="8"/>
          <w:position w:val="1"/>
          <w:sz w:val="31"/>
          <w:szCs w:val="31"/>
        </w:rPr>
        <w:t>湖南省深化产教融合发展研究</w:t>
      </w:r>
    </w:p>
    <w:p w:rsidR="004C73D2" w:rsidRDefault="003C5C50">
      <w:pPr>
        <w:spacing w:before="181" w:line="357" w:lineRule="auto"/>
        <w:ind w:right="68" w:firstLine="64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t>成果包括但不限于：《湖</w:t>
      </w:r>
      <w:r>
        <w:rPr>
          <w:rFonts w:ascii="FangSong" w:eastAsia="FangSong" w:hAnsi="FangSong" w:cs="FangSong"/>
          <w:spacing w:val="1"/>
          <w:sz w:val="31"/>
          <w:szCs w:val="31"/>
        </w:rPr>
        <w:t>南省产教融合实施细则》《关于在先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进制造</w:t>
      </w:r>
      <w:r>
        <w:rPr>
          <w:rFonts w:ascii="FangSong" w:eastAsia="FangSong" w:hAnsi="FangSong" w:cs="FangSong"/>
          <w:spacing w:val="2"/>
          <w:sz w:val="31"/>
          <w:szCs w:val="31"/>
        </w:rPr>
        <w:t>业产业园区全面组建产教联合体的实施意见》《关于对接战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略产业集</w:t>
      </w:r>
      <w:r>
        <w:rPr>
          <w:rFonts w:ascii="FangSong" w:eastAsia="FangSong" w:hAnsi="FangSong" w:cs="FangSong"/>
          <w:spacing w:val="2"/>
          <w:sz w:val="31"/>
          <w:szCs w:val="31"/>
        </w:rPr>
        <w:t>群组建先进制造业产教融合共同体的实施意见》《关于建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</w:rPr>
        <w:t>设先进制造业产教融合实践中心的实施意见》</w:t>
      </w:r>
      <w:r>
        <w:rPr>
          <w:rFonts w:ascii="FangSong" w:eastAsia="FangSong" w:hAnsi="FangSong" w:cs="FangSong"/>
          <w:spacing w:val="2"/>
          <w:sz w:val="31"/>
          <w:szCs w:val="31"/>
        </w:rPr>
        <w:t>。</w:t>
      </w:r>
    </w:p>
    <w:p w:rsidR="004C73D2" w:rsidRDefault="003C5C50">
      <w:pPr>
        <w:spacing w:line="418" w:lineRule="exact"/>
        <w:ind w:left="638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10"/>
          <w:position w:val="1"/>
          <w:sz w:val="31"/>
          <w:szCs w:val="31"/>
        </w:rPr>
        <w:t>3</w:t>
      </w:r>
      <w:r>
        <w:rPr>
          <w:rFonts w:ascii="SimHei" w:eastAsia="SimHei" w:hAnsi="SimHei" w:cs="SimHei"/>
          <w:spacing w:val="8"/>
          <w:position w:val="1"/>
          <w:sz w:val="31"/>
          <w:szCs w:val="31"/>
        </w:rPr>
        <w:t>.职普融通发展模式研究</w:t>
      </w:r>
    </w:p>
    <w:p w:rsidR="004C73D2" w:rsidRDefault="003C5C50">
      <w:pPr>
        <w:spacing w:before="185" w:line="353" w:lineRule="auto"/>
        <w:ind w:left="9" w:firstLine="63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8"/>
          <w:sz w:val="31"/>
          <w:szCs w:val="31"/>
        </w:rPr>
        <w:t>成果</w:t>
      </w:r>
      <w:r>
        <w:rPr>
          <w:rFonts w:ascii="FangSong" w:eastAsia="FangSong" w:hAnsi="FangSong" w:cs="FangSong"/>
          <w:spacing w:val="-9"/>
          <w:sz w:val="31"/>
          <w:szCs w:val="31"/>
        </w:rPr>
        <w:t>包括但不限于：《关于开展职普融通培养的工作方案》《湖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8"/>
          <w:sz w:val="31"/>
          <w:szCs w:val="31"/>
        </w:rPr>
        <w:t>南省综合</w:t>
      </w:r>
      <w:r>
        <w:rPr>
          <w:rFonts w:ascii="FangSong" w:eastAsia="FangSong" w:hAnsi="FangSong" w:cs="FangSong"/>
          <w:spacing w:val="7"/>
          <w:sz w:val="31"/>
          <w:szCs w:val="31"/>
        </w:rPr>
        <w:t>高</w:t>
      </w:r>
      <w:r>
        <w:rPr>
          <w:rFonts w:ascii="FangSong" w:eastAsia="FangSong" w:hAnsi="FangSong" w:cs="FangSong"/>
          <w:spacing w:val="4"/>
          <w:sz w:val="31"/>
          <w:szCs w:val="31"/>
        </w:rPr>
        <w:t>中设置管理办法》《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“3+2”</w:t>
      </w:r>
      <w:r>
        <w:rPr>
          <w:rFonts w:ascii="FangSong" w:eastAsia="FangSong" w:hAnsi="FangSong" w:cs="FangSong"/>
          <w:spacing w:val="4"/>
          <w:sz w:val="31"/>
          <w:szCs w:val="31"/>
        </w:rPr>
        <w:t>贯通培养管理办法》《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“3+4”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4"/>
          <w:sz w:val="31"/>
          <w:szCs w:val="31"/>
        </w:rPr>
        <w:t>贯通培</w:t>
      </w:r>
      <w:r>
        <w:rPr>
          <w:rFonts w:ascii="FangSong" w:eastAsia="FangSong" w:hAnsi="FangSong" w:cs="FangSong"/>
          <w:spacing w:val="-2"/>
          <w:sz w:val="31"/>
          <w:szCs w:val="31"/>
        </w:rPr>
        <w:t>养实施意见》《贯通培养专业教学标准开发指南》。</w:t>
      </w:r>
    </w:p>
    <w:p w:rsidR="004C73D2" w:rsidRDefault="003C5C50">
      <w:pPr>
        <w:spacing w:before="19" w:line="421" w:lineRule="exact"/>
        <w:ind w:left="629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9"/>
          <w:position w:val="1"/>
          <w:sz w:val="31"/>
          <w:szCs w:val="31"/>
        </w:rPr>
        <w:t>4.湖南省产业学院发展研</w:t>
      </w:r>
      <w:r>
        <w:rPr>
          <w:rFonts w:ascii="SimHei" w:eastAsia="SimHei" w:hAnsi="SimHei" w:cs="SimHei"/>
          <w:spacing w:val="7"/>
          <w:position w:val="1"/>
          <w:sz w:val="31"/>
          <w:szCs w:val="31"/>
        </w:rPr>
        <w:t>究</w:t>
      </w:r>
    </w:p>
    <w:p w:rsidR="004C73D2" w:rsidRDefault="003C5C50">
      <w:pPr>
        <w:spacing w:before="180" w:line="357" w:lineRule="auto"/>
        <w:ind w:left="13" w:right="71" w:firstLine="63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t>成果包括但不限于：《湖</w:t>
      </w:r>
      <w:r>
        <w:rPr>
          <w:rFonts w:ascii="FangSong" w:eastAsia="FangSong" w:hAnsi="FangSong" w:cs="FangSong"/>
          <w:spacing w:val="1"/>
          <w:sz w:val="31"/>
          <w:szCs w:val="31"/>
        </w:rPr>
        <w:t>南省产业学院建设指南》《湖南省产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5"/>
          <w:sz w:val="31"/>
          <w:szCs w:val="31"/>
        </w:rPr>
        <w:t>业学院设置管理办法》</w:t>
      </w:r>
      <w:r>
        <w:rPr>
          <w:rFonts w:ascii="FangSong" w:eastAsia="FangSong" w:hAnsi="FangSong" w:cs="FangSong"/>
          <w:spacing w:val="-3"/>
          <w:sz w:val="31"/>
          <w:szCs w:val="31"/>
        </w:rPr>
        <w:t>。</w:t>
      </w:r>
    </w:p>
    <w:p w:rsidR="004C73D2" w:rsidRDefault="003C5C50">
      <w:pPr>
        <w:spacing w:line="416" w:lineRule="exact"/>
        <w:ind w:left="631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9"/>
          <w:position w:val="2"/>
          <w:sz w:val="31"/>
          <w:szCs w:val="31"/>
        </w:rPr>
        <w:t>5.“湖湘工匠”人才培养模式研究</w:t>
      </w:r>
    </w:p>
    <w:p w:rsidR="004C73D2" w:rsidRDefault="003C5C50">
      <w:pPr>
        <w:spacing w:before="185" w:line="222" w:lineRule="auto"/>
        <w:ind w:left="64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4"/>
          <w:sz w:val="31"/>
          <w:szCs w:val="31"/>
        </w:rPr>
        <w:t>成果包括但不限于</w:t>
      </w:r>
      <w:r>
        <w:rPr>
          <w:rFonts w:ascii="FangSong" w:eastAsia="FangSong" w:hAnsi="FangSong" w:cs="FangSong"/>
          <w:spacing w:val="3"/>
          <w:sz w:val="31"/>
          <w:szCs w:val="31"/>
        </w:rPr>
        <w:t>：</w:t>
      </w:r>
      <w:r>
        <w:rPr>
          <w:rFonts w:ascii="FangSong" w:eastAsia="FangSong" w:hAnsi="FangSong" w:cs="FangSong"/>
          <w:spacing w:val="2"/>
          <w:sz w:val="31"/>
          <w:szCs w:val="31"/>
        </w:rPr>
        <w:t>《关于深化校企合作培养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“</w:t>
      </w:r>
      <w:r>
        <w:rPr>
          <w:rFonts w:ascii="FangSong" w:eastAsia="FangSong" w:hAnsi="FangSong" w:cs="FangSong"/>
          <w:spacing w:val="2"/>
          <w:sz w:val="31"/>
          <w:szCs w:val="31"/>
        </w:rPr>
        <w:t>湖湘工匠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”</w:t>
      </w:r>
      <w:r>
        <w:rPr>
          <w:rFonts w:ascii="FangSong" w:eastAsia="FangSong" w:hAnsi="FangSong" w:cs="FangSong"/>
          <w:spacing w:val="2"/>
          <w:sz w:val="31"/>
          <w:szCs w:val="31"/>
        </w:rPr>
        <w:t>的实</w:t>
      </w:r>
    </w:p>
    <w:p w:rsidR="004C73D2" w:rsidRDefault="004C73D2">
      <w:pPr>
        <w:sectPr w:rsidR="004C73D2">
          <w:footerReference w:type="default" r:id="rId6"/>
          <w:pgSz w:w="11906" w:h="16839"/>
          <w:pgMar w:top="1431" w:right="1349" w:bottom="1312" w:left="1430" w:header="0" w:footer="949" w:gutter="0"/>
          <w:cols w:space="720"/>
        </w:sectPr>
      </w:pPr>
    </w:p>
    <w:p w:rsidR="004C73D2" w:rsidRDefault="004C73D2">
      <w:pPr>
        <w:spacing w:line="374" w:lineRule="auto"/>
      </w:pPr>
    </w:p>
    <w:p w:rsidR="004C73D2" w:rsidRDefault="003C5C50">
      <w:pPr>
        <w:spacing w:before="101" w:line="225" w:lineRule="auto"/>
        <w:ind w:left="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7"/>
          <w:sz w:val="31"/>
          <w:szCs w:val="31"/>
        </w:rPr>
        <w:t>施</w:t>
      </w:r>
      <w:r>
        <w:rPr>
          <w:rFonts w:ascii="FangSong" w:eastAsia="FangSong" w:hAnsi="FangSong" w:cs="FangSong"/>
          <w:spacing w:val="-4"/>
          <w:sz w:val="31"/>
          <w:szCs w:val="31"/>
        </w:rPr>
        <w:t>意见》《湖南省拔尖技术人才选拔培养办法》。</w:t>
      </w:r>
    </w:p>
    <w:p w:rsidR="004C73D2" w:rsidRDefault="003C5C50">
      <w:pPr>
        <w:spacing w:before="221" w:line="416" w:lineRule="exact"/>
        <w:ind w:left="645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9"/>
          <w:position w:val="2"/>
          <w:sz w:val="31"/>
          <w:szCs w:val="31"/>
        </w:rPr>
        <w:t>6.职业教育现场工程师人才培养研</w:t>
      </w:r>
      <w:r>
        <w:rPr>
          <w:rFonts w:ascii="SimHei" w:eastAsia="SimHei" w:hAnsi="SimHei" w:cs="SimHei"/>
          <w:spacing w:val="6"/>
          <w:position w:val="2"/>
          <w:sz w:val="31"/>
          <w:szCs w:val="31"/>
        </w:rPr>
        <w:t>究</w:t>
      </w:r>
    </w:p>
    <w:p w:rsidR="004C73D2" w:rsidRDefault="003C5C50">
      <w:pPr>
        <w:spacing w:before="185" w:line="357" w:lineRule="auto"/>
        <w:ind w:left="16" w:firstLine="638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3"/>
          <w:sz w:val="31"/>
          <w:szCs w:val="31"/>
        </w:rPr>
        <w:t>成</w:t>
      </w:r>
      <w:r>
        <w:rPr>
          <w:rFonts w:ascii="FangSong" w:eastAsia="FangSong" w:hAnsi="FangSong" w:cs="FangSong"/>
          <w:spacing w:val="13"/>
          <w:sz w:val="31"/>
          <w:szCs w:val="31"/>
        </w:rPr>
        <w:t>果包括但不限于：《职业教育现场工程师人才培养工作方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</w:rPr>
        <w:t>案</w:t>
      </w:r>
      <w:r>
        <w:rPr>
          <w:rFonts w:ascii="FangSong" w:eastAsia="FangSong" w:hAnsi="FangSong" w:cs="FangSong"/>
          <w:spacing w:val="2"/>
          <w:sz w:val="31"/>
          <w:szCs w:val="31"/>
        </w:rPr>
        <w:t>》《职业教育现场工程师人才培养试点的指导意见》《湖南省高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职院校现场工程师人才培养的评</w:t>
      </w:r>
      <w:r>
        <w:rPr>
          <w:rFonts w:ascii="FangSong" w:eastAsia="FangSong" w:hAnsi="FangSong" w:cs="FangSong"/>
          <w:spacing w:val="1"/>
          <w:sz w:val="31"/>
          <w:szCs w:val="31"/>
        </w:rPr>
        <w:t>价标准》。</w:t>
      </w:r>
    </w:p>
    <w:p w:rsidR="004C73D2" w:rsidRDefault="003C5C50">
      <w:pPr>
        <w:spacing w:line="421" w:lineRule="exact"/>
        <w:ind w:left="648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15"/>
          <w:position w:val="2"/>
          <w:sz w:val="31"/>
          <w:szCs w:val="31"/>
        </w:rPr>
        <w:t>7</w:t>
      </w:r>
      <w:r>
        <w:rPr>
          <w:rFonts w:ascii="SimHei" w:eastAsia="SimHei" w:hAnsi="SimHei" w:cs="SimHei"/>
          <w:spacing w:val="8"/>
          <w:position w:val="2"/>
          <w:sz w:val="31"/>
          <w:szCs w:val="31"/>
        </w:rPr>
        <w:t>.职业教育质量评价体系建设研究</w:t>
      </w:r>
    </w:p>
    <w:p w:rsidR="004C73D2" w:rsidRDefault="003C5C50">
      <w:pPr>
        <w:spacing w:before="179" w:line="357" w:lineRule="auto"/>
        <w:ind w:left="8" w:right="2" w:firstLine="64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t>成果包括但不限于：《湖</w:t>
      </w:r>
      <w:r>
        <w:rPr>
          <w:rFonts w:ascii="FangSong" w:eastAsia="FangSong" w:hAnsi="FangSong" w:cs="FangSong"/>
          <w:spacing w:val="1"/>
          <w:sz w:val="31"/>
          <w:szCs w:val="31"/>
        </w:rPr>
        <w:t>南省高等职业教育质量评价体系建设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2"/>
          <w:sz w:val="31"/>
          <w:szCs w:val="31"/>
        </w:rPr>
        <w:t>调研报告》《湖南省职业教</w:t>
      </w:r>
      <w:r>
        <w:rPr>
          <w:rFonts w:ascii="FangSong" w:eastAsia="FangSong" w:hAnsi="FangSong" w:cs="FangSong"/>
          <w:spacing w:val="-1"/>
          <w:sz w:val="31"/>
          <w:szCs w:val="31"/>
        </w:rPr>
        <w:t>育质量评价体系建设实施方案》。</w:t>
      </w:r>
    </w:p>
    <w:p w:rsidR="004C73D2" w:rsidRDefault="003C5C50">
      <w:pPr>
        <w:spacing w:line="418" w:lineRule="exact"/>
        <w:ind w:left="643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11"/>
          <w:position w:val="2"/>
          <w:sz w:val="31"/>
          <w:szCs w:val="31"/>
        </w:rPr>
        <w:t>8</w:t>
      </w:r>
      <w:r>
        <w:rPr>
          <w:rFonts w:ascii="SimHei" w:eastAsia="SimHei" w:hAnsi="SimHei" w:cs="SimHei"/>
          <w:spacing w:val="9"/>
          <w:position w:val="2"/>
          <w:sz w:val="31"/>
          <w:szCs w:val="31"/>
        </w:rPr>
        <w:t>.职业院校教师教学能力标准与培养培训研究</w:t>
      </w:r>
    </w:p>
    <w:p w:rsidR="004C73D2" w:rsidRDefault="003C5C50">
      <w:pPr>
        <w:spacing w:before="184" w:line="357" w:lineRule="auto"/>
        <w:ind w:right="2" w:firstLine="653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t>成果包括但不限于：《湖</w:t>
      </w:r>
      <w:r>
        <w:rPr>
          <w:rFonts w:ascii="FangSong" w:eastAsia="FangSong" w:hAnsi="FangSong" w:cs="FangSong"/>
          <w:spacing w:val="1"/>
          <w:sz w:val="31"/>
          <w:szCs w:val="31"/>
        </w:rPr>
        <w:t>南省职业院校教师教学能力标准体系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(制造业专业</w:t>
      </w:r>
      <w:r>
        <w:rPr>
          <w:rFonts w:ascii="FangSong" w:eastAsia="FangSong" w:hAnsi="FangSong" w:cs="FangSong"/>
          <w:spacing w:val="2"/>
          <w:sz w:val="31"/>
          <w:szCs w:val="31"/>
        </w:rPr>
        <w:t>)》《湖南省职业院校教师教学能力考核方案》《湖南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</w:rPr>
        <w:t>省职业院校教师培养培</w:t>
      </w:r>
      <w:r>
        <w:rPr>
          <w:rFonts w:ascii="FangSong" w:eastAsia="FangSong" w:hAnsi="FangSong" w:cs="FangSong"/>
          <w:sz w:val="31"/>
          <w:szCs w:val="31"/>
        </w:rPr>
        <w:t>训方案》。</w:t>
      </w:r>
    </w:p>
    <w:p w:rsidR="004C73D2" w:rsidRDefault="003C5C50">
      <w:pPr>
        <w:spacing w:line="418" w:lineRule="exact"/>
        <w:ind w:left="638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13"/>
          <w:position w:val="2"/>
          <w:sz w:val="31"/>
          <w:szCs w:val="31"/>
        </w:rPr>
        <w:t>9</w:t>
      </w:r>
      <w:r>
        <w:rPr>
          <w:rFonts w:ascii="SimHei" w:eastAsia="SimHei" w:hAnsi="SimHei" w:cs="SimHei"/>
          <w:spacing w:val="9"/>
          <w:position w:val="2"/>
          <w:sz w:val="31"/>
          <w:szCs w:val="31"/>
        </w:rPr>
        <w:t>.中职学校布局调整及办学条件达标研究</w:t>
      </w:r>
    </w:p>
    <w:p w:rsidR="004C73D2" w:rsidRDefault="003C5C50">
      <w:pPr>
        <w:spacing w:before="184" w:line="357" w:lineRule="auto"/>
        <w:ind w:left="22" w:firstLine="63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成</w:t>
      </w:r>
      <w:r>
        <w:rPr>
          <w:rFonts w:ascii="FangSong" w:eastAsia="FangSong" w:hAnsi="FangSong" w:cs="FangSong"/>
          <w:spacing w:val="7"/>
          <w:sz w:val="31"/>
          <w:szCs w:val="31"/>
        </w:rPr>
        <w:t>果包括但不限于：《关于进一步优化中职学校布局 提升办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学水平的意见》《湖南省中职学校建设标准评估办法》《湖</w:t>
      </w:r>
      <w:r>
        <w:rPr>
          <w:rFonts w:ascii="FangSong" w:eastAsia="FangSong" w:hAnsi="FangSong" w:cs="FangSong"/>
          <w:spacing w:val="1"/>
          <w:sz w:val="31"/>
          <w:szCs w:val="31"/>
        </w:rPr>
        <w:t>南</w:t>
      </w:r>
      <w:r>
        <w:rPr>
          <w:rFonts w:ascii="FangSong" w:eastAsia="FangSong" w:hAnsi="FangSong" w:cs="FangSong"/>
          <w:sz w:val="31"/>
          <w:szCs w:val="31"/>
        </w:rPr>
        <w:t xml:space="preserve">省中 </w:t>
      </w:r>
      <w:r>
        <w:rPr>
          <w:rFonts w:ascii="FangSong" w:eastAsia="FangSong" w:hAnsi="FangSong" w:cs="FangSong"/>
          <w:spacing w:val="1"/>
          <w:sz w:val="31"/>
          <w:szCs w:val="31"/>
        </w:rPr>
        <w:t>职学校布局结构</w:t>
      </w:r>
      <w:r>
        <w:rPr>
          <w:rFonts w:ascii="FangSong" w:eastAsia="FangSong" w:hAnsi="FangSong" w:cs="FangSong"/>
          <w:sz w:val="31"/>
          <w:szCs w:val="31"/>
        </w:rPr>
        <w:t>调整工作验收方案》。</w:t>
      </w:r>
    </w:p>
    <w:p w:rsidR="004C73D2" w:rsidRDefault="003C5C50">
      <w:pPr>
        <w:spacing w:line="412" w:lineRule="exact"/>
        <w:ind w:left="663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12"/>
          <w:position w:val="2"/>
          <w:sz w:val="31"/>
          <w:szCs w:val="31"/>
        </w:rPr>
        <w:t>1</w:t>
      </w:r>
      <w:r>
        <w:rPr>
          <w:rFonts w:ascii="SimHei" w:eastAsia="SimHei" w:hAnsi="SimHei" w:cs="SimHei"/>
          <w:spacing w:val="7"/>
          <w:position w:val="2"/>
          <w:sz w:val="31"/>
          <w:szCs w:val="31"/>
        </w:rPr>
        <w:t>0.湖南职业教育“楚怡精神”研究</w:t>
      </w:r>
    </w:p>
    <w:p w:rsidR="004C73D2" w:rsidRDefault="003C5C50" w:rsidP="005532DD">
      <w:pPr>
        <w:spacing w:before="188" w:line="363" w:lineRule="auto"/>
        <w:ind w:firstLine="654"/>
      </w:pPr>
      <w:r>
        <w:rPr>
          <w:rFonts w:ascii="FangSong" w:eastAsia="FangSong" w:hAnsi="FangSong" w:cs="FangSong"/>
          <w:spacing w:val="4"/>
          <w:sz w:val="31"/>
          <w:szCs w:val="31"/>
        </w:rPr>
        <w:t>成果包括但不限于：</w:t>
      </w:r>
      <w:r>
        <w:rPr>
          <w:rFonts w:ascii="FangSong" w:eastAsia="FangSong" w:hAnsi="FangSong" w:cs="FangSong"/>
          <w:spacing w:val="3"/>
          <w:sz w:val="31"/>
          <w:szCs w:val="31"/>
        </w:rPr>
        <w:t>《</w:t>
      </w:r>
      <w:r>
        <w:rPr>
          <w:rFonts w:ascii="FangSong" w:eastAsia="FangSong" w:hAnsi="FangSong" w:cs="FangSong"/>
          <w:spacing w:val="2"/>
          <w:sz w:val="31"/>
          <w:szCs w:val="31"/>
        </w:rPr>
        <w:t>湖南职业教育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“</w:t>
      </w:r>
      <w:r>
        <w:rPr>
          <w:rFonts w:ascii="FangSong" w:eastAsia="FangSong" w:hAnsi="FangSong" w:cs="FangSong"/>
          <w:spacing w:val="2"/>
          <w:sz w:val="31"/>
          <w:szCs w:val="31"/>
        </w:rPr>
        <w:t>楚怡精神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”</w:t>
      </w:r>
      <w:r>
        <w:rPr>
          <w:rFonts w:ascii="FangSong" w:eastAsia="FangSong" w:hAnsi="FangSong" w:cs="FangSong"/>
          <w:spacing w:val="2"/>
          <w:sz w:val="31"/>
          <w:szCs w:val="31"/>
        </w:rPr>
        <w:t>及其时代价值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</w:rPr>
        <w:t>研究》《湖</w:t>
      </w:r>
      <w:r>
        <w:rPr>
          <w:rFonts w:ascii="FangSong" w:eastAsia="FangSong" w:hAnsi="FangSong" w:cs="FangSong"/>
          <w:spacing w:val="5"/>
          <w:sz w:val="31"/>
          <w:szCs w:val="31"/>
        </w:rPr>
        <w:t>南</w:t>
      </w:r>
      <w:r>
        <w:rPr>
          <w:rFonts w:ascii="FangSong" w:eastAsia="FangSong" w:hAnsi="FangSong" w:cs="FangSong"/>
          <w:spacing w:val="3"/>
          <w:sz w:val="31"/>
          <w:szCs w:val="31"/>
        </w:rPr>
        <w:t>职业教育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“</w:t>
      </w:r>
      <w:r>
        <w:rPr>
          <w:rFonts w:ascii="FangSong" w:eastAsia="FangSong" w:hAnsi="FangSong" w:cs="FangSong"/>
          <w:spacing w:val="3"/>
          <w:sz w:val="31"/>
          <w:szCs w:val="31"/>
        </w:rPr>
        <w:t>楚怡精神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”</w:t>
      </w:r>
      <w:r>
        <w:rPr>
          <w:rFonts w:ascii="FangSong" w:eastAsia="FangSong" w:hAnsi="FangSong" w:cs="FangSong"/>
          <w:spacing w:val="3"/>
          <w:sz w:val="31"/>
          <w:szCs w:val="31"/>
        </w:rPr>
        <w:t>传承路径与机制研究》《湖南省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职业教育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“</w:t>
      </w:r>
      <w:r>
        <w:rPr>
          <w:rFonts w:ascii="FangSong" w:eastAsia="FangSong" w:hAnsi="FangSong" w:cs="FangSong"/>
          <w:spacing w:val="4"/>
          <w:sz w:val="31"/>
          <w:szCs w:val="31"/>
        </w:rPr>
        <w:t>楚怡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”</w:t>
      </w:r>
      <w:r>
        <w:rPr>
          <w:rFonts w:ascii="FangSong" w:eastAsia="FangSong" w:hAnsi="FangSong" w:cs="FangSong"/>
          <w:spacing w:val="2"/>
          <w:sz w:val="31"/>
          <w:szCs w:val="31"/>
        </w:rPr>
        <w:t>品牌打造与传播推介方案》。</w:t>
      </w:r>
    </w:p>
    <w:sectPr w:rsidR="004C73D2" w:rsidSect="004C73D2">
      <w:footerReference w:type="default" r:id="rId7"/>
      <w:pgSz w:w="11906" w:h="16839"/>
      <w:pgMar w:top="1431" w:right="1577" w:bottom="1312" w:left="1334" w:header="0" w:footer="9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5C" w:rsidRDefault="001B705C" w:rsidP="004C73D2">
      <w:r>
        <w:separator/>
      </w:r>
    </w:p>
  </w:endnote>
  <w:endnote w:type="continuationSeparator" w:id="0">
    <w:p w:rsidR="001B705C" w:rsidRDefault="001B705C" w:rsidP="004C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D2" w:rsidRPr="005532DD" w:rsidRDefault="004C73D2" w:rsidP="005532DD">
    <w:pPr>
      <w:spacing w:line="239" w:lineRule="auto"/>
      <w:rPr>
        <w:rFonts w:ascii="SimSun" w:hAnsi="SimSun" w:cs="SimSun" w:hint="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D2" w:rsidRPr="005532DD" w:rsidRDefault="004C73D2" w:rsidP="005532DD">
    <w:pPr>
      <w:spacing w:line="239" w:lineRule="auto"/>
      <w:rPr>
        <w:rFonts w:ascii="SimSun" w:hAnsi="SimSun" w:cs="SimSun" w:hint="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5C" w:rsidRDefault="001B705C" w:rsidP="004C73D2">
      <w:r>
        <w:separator/>
      </w:r>
    </w:p>
  </w:footnote>
  <w:footnote w:type="continuationSeparator" w:id="0">
    <w:p w:rsidR="001B705C" w:rsidRDefault="001B705C" w:rsidP="004C7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4C73D2"/>
    <w:rsid w:val="001A7DCC"/>
    <w:rsid w:val="001B705C"/>
    <w:rsid w:val="002254A2"/>
    <w:rsid w:val="003C5C50"/>
    <w:rsid w:val="004C73D2"/>
    <w:rsid w:val="005532DD"/>
    <w:rsid w:val="005D6B9E"/>
    <w:rsid w:val="00921219"/>
    <w:rsid w:val="00F440BE"/>
    <w:rsid w:val="00F4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4C73D2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4C73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F440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40BE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40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440BE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440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440BE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 2023 年湖南省职业教育</dc:title>
  <dc:creator>Administrator</dc:creator>
  <cp:lastModifiedBy>Administrator</cp:lastModifiedBy>
  <cp:revision>2</cp:revision>
  <dcterms:created xsi:type="dcterms:W3CDTF">2022-12-15T08:25:00Z</dcterms:created>
  <dcterms:modified xsi:type="dcterms:W3CDTF">2022-12-15T08:25:00Z</dcterms:modified>
</cp:coreProperties>
</file>