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jc w:val="left"/>
        <w:rPr>
          <w:rFonts w:ascii="黑体" w:eastAsia="黑体" w:cs="黑体"/>
          <w:kern w:val="0"/>
          <w:sz w:val="28"/>
          <w:szCs w:val="28"/>
        </w:rPr>
      </w:pPr>
      <w:r>
        <w:rPr>
          <w:rFonts w:hint="eastAsia" w:ascii="仿宋" w:hAnsi="仿宋" w:eastAsia="仿宋"/>
          <w:sz w:val="28"/>
          <w:szCs w:val="28"/>
        </w:rPr>
        <w:t>附件2</w:t>
      </w:r>
    </w:p>
    <w:p>
      <w:pPr>
        <w:autoSpaceDE w:val="0"/>
        <w:autoSpaceDN w:val="0"/>
        <w:adjustRightInd w:val="0"/>
        <w:spacing w:line="480" w:lineRule="auto"/>
        <w:jc w:val="center"/>
        <w:rPr>
          <w:rFonts w:ascii="黑体" w:eastAsia="黑体" w:cs="黑体"/>
          <w:kern w:val="0"/>
          <w:sz w:val="32"/>
          <w:szCs w:val="28"/>
        </w:rPr>
      </w:pPr>
      <w:bookmarkStart w:id="0" w:name="_GoBack"/>
      <w:r>
        <w:rPr>
          <w:rFonts w:hint="eastAsia" w:ascii="黑体" w:eastAsia="黑体" w:cs="黑体"/>
          <w:kern w:val="0"/>
          <w:sz w:val="32"/>
          <w:szCs w:val="28"/>
        </w:rPr>
        <w:t>湖南省亚行贷款软实力建设职业教育体系建设项目</w:t>
      </w:r>
    </w:p>
    <w:p>
      <w:pPr>
        <w:autoSpaceDE w:val="0"/>
        <w:autoSpaceDN w:val="0"/>
        <w:adjustRightInd w:val="0"/>
        <w:spacing w:line="480" w:lineRule="auto"/>
        <w:jc w:val="center"/>
        <w:rPr>
          <w:rFonts w:ascii="黑体" w:eastAsia="黑体" w:cs="黑体"/>
          <w:kern w:val="0"/>
          <w:sz w:val="32"/>
          <w:szCs w:val="28"/>
        </w:rPr>
      </w:pPr>
      <w:r>
        <w:rPr>
          <w:rFonts w:hint="eastAsia" w:ascii="黑体" w:eastAsia="黑体" w:cs="黑体"/>
          <w:kern w:val="0"/>
          <w:sz w:val="32"/>
          <w:szCs w:val="28"/>
        </w:rPr>
        <w:t>网络在线开放课程建设标准</w:t>
      </w:r>
    </w:p>
    <w:bookmarkEnd w:id="0"/>
    <w:p>
      <w:pPr>
        <w:ind w:firstLine="560" w:firstLineChars="200"/>
        <w:rPr>
          <w:rFonts w:ascii="仿宋" w:hAnsi="仿宋" w:eastAsia="仿宋"/>
          <w:sz w:val="28"/>
          <w:szCs w:val="28"/>
        </w:rPr>
      </w:pPr>
      <w:r>
        <w:rPr>
          <w:rFonts w:hint="eastAsia" w:ascii="仿宋" w:hAnsi="仿宋" w:eastAsia="仿宋"/>
          <w:sz w:val="28"/>
          <w:szCs w:val="28"/>
        </w:rPr>
        <w:t>本项目建设旨在通过现代教育技术的应用，实现高水平的教育资源的整合和共享，推进教育教学发展、改革和创新，提高教学质量和人才培养质量。</w:t>
      </w:r>
    </w:p>
    <w:p>
      <w:pPr>
        <w:ind w:firstLine="560" w:firstLineChars="200"/>
        <w:rPr>
          <w:rFonts w:ascii="仿宋" w:hAnsi="仿宋" w:eastAsia="仿宋"/>
          <w:sz w:val="28"/>
          <w:szCs w:val="28"/>
        </w:rPr>
      </w:pPr>
      <w:r>
        <w:rPr>
          <w:rFonts w:hint="eastAsia" w:ascii="仿宋" w:hAnsi="仿宋" w:eastAsia="仿宋"/>
          <w:sz w:val="28"/>
          <w:szCs w:val="28"/>
        </w:rPr>
        <w:t>网络在线开放课程应包括课程介绍、教学整体设计与单元设计、课程标准、课件演示文稿及其他格式文档、试题库、教学视频等反映教学活动必需的资源。具体要求如下：</w:t>
      </w:r>
    </w:p>
    <w:p>
      <w:pPr>
        <w:ind w:firstLine="560" w:firstLineChars="200"/>
        <w:rPr>
          <w:rFonts w:ascii="仿宋" w:hAnsi="仿宋" w:eastAsia="仿宋"/>
          <w:sz w:val="28"/>
          <w:szCs w:val="28"/>
        </w:rPr>
      </w:pPr>
      <w:r>
        <w:rPr>
          <w:rFonts w:hint="eastAsia" w:ascii="仿宋" w:hAnsi="仿宋" w:eastAsia="仿宋"/>
          <w:sz w:val="28"/>
          <w:szCs w:val="28"/>
        </w:rPr>
        <w:t>（一）非视频教学资源制作标准</w:t>
      </w:r>
    </w:p>
    <w:p>
      <w:pPr>
        <w:ind w:firstLine="560" w:firstLineChars="200"/>
        <w:rPr>
          <w:rFonts w:ascii="仿宋" w:hAnsi="仿宋" w:eastAsia="仿宋"/>
          <w:sz w:val="28"/>
          <w:szCs w:val="28"/>
        </w:rPr>
      </w:pPr>
      <w:r>
        <w:rPr>
          <w:rFonts w:hint="eastAsia" w:ascii="仿宋" w:hAnsi="仿宋" w:eastAsia="仿宋"/>
          <w:sz w:val="28"/>
          <w:szCs w:val="28"/>
        </w:rPr>
        <w:t>1.课程介绍</w:t>
      </w:r>
    </w:p>
    <w:p>
      <w:pPr>
        <w:ind w:firstLine="560" w:firstLineChars="200"/>
        <w:rPr>
          <w:rFonts w:ascii="仿宋" w:hAnsi="仿宋" w:eastAsia="仿宋"/>
          <w:sz w:val="28"/>
          <w:szCs w:val="28"/>
        </w:rPr>
      </w:pPr>
      <w:r>
        <w:rPr>
          <w:rFonts w:hint="eastAsia" w:ascii="仿宋" w:hAnsi="仿宋" w:eastAsia="仿宋"/>
          <w:sz w:val="28"/>
          <w:szCs w:val="28"/>
        </w:rPr>
        <w:t>每门课程须在课程首页上呈现课程介绍。课程介绍应包含课程定位、课程目标、课程描述、课程特色等内容。</w:t>
      </w:r>
    </w:p>
    <w:p>
      <w:pPr>
        <w:ind w:firstLine="560" w:firstLineChars="200"/>
        <w:rPr>
          <w:rFonts w:ascii="仿宋" w:hAnsi="仿宋" w:eastAsia="仿宋"/>
          <w:sz w:val="28"/>
          <w:szCs w:val="28"/>
        </w:rPr>
      </w:pPr>
      <w:r>
        <w:rPr>
          <w:rFonts w:hint="eastAsia" w:ascii="仿宋" w:hAnsi="仿宋" w:eastAsia="仿宋"/>
          <w:sz w:val="28"/>
          <w:szCs w:val="28"/>
        </w:rPr>
        <w:t>2.课程标准</w:t>
      </w:r>
    </w:p>
    <w:p>
      <w:pPr>
        <w:ind w:firstLine="560" w:firstLineChars="200"/>
        <w:rPr>
          <w:rFonts w:ascii="仿宋" w:hAnsi="仿宋" w:eastAsia="仿宋"/>
          <w:sz w:val="28"/>
          <w:szCs w:val="28"/>
        </w:rPr>
      </w:pPr>
      <w:r>
        <w:rPr>
          <w:rFonts w:hint="eastAsia" w:ascii="仿宋" w:hAnsi="仿宋" w:eastAsia="仿宋"/>
          <w:sz w:val="28"/>
          <w:szCs w:val="28"/>
        </w:rPr>
        <w:t>每门课程应根据知识点重构内容，按照《湖南省亚行贷款软实力建设职业教育体系建设项目网络在线开放课程标准》模板要求，课程标准应包含课程定位、课程目标、课程衔接、教学内容与学时分配、学习资源的选用、教师配备要求、学习场地及设施要求等内容。</w:t>
      </w:r>
    </w:p>
    <w:p>
      <w:pPr>
        <w:ind w:firstLine="560" w:firstLineChars="200"/>
        <w:rPr>
          <w:rFonts w:ascii="仿宋" w:hAnsi="仿宋" w:eastAsia="仿宋"/>
          <w:sz w:val="28"/>
          <w:szCs w:val="28"/>
        </w:rPr>
      </w:pPr>
      <w:r>
        <w:rPr>
          <w:rFonts w:hint="eastAsia" w:ascii="仿宋" w:hAnsi="仿宋" w:eastAsia="仿宋"/>
          <w:sz w:val="28"/>
          <w:szCs w:val="28"/>
        </w:rPr>
        <w:t>3.教学整体设计与单元设计要求</w:t>
      </w:r>
    </w:p>
    <w:p>
      <w:pPr>
        <w:ind w:firstLine="560" w:firstLineChars="200"/>
        <w:rPr>
          <w:rFonts w:ascii="仿宋" w:hAnsi="仿宋" w:eastAsia="仿宋"/>
          <w:sz w:val="28"/>
          <w:szCs w:val="28"/>
        </w:rPr>
      </w:pPr>
      <w:r>
        <w:rPr>
          <w:rFonts w:hint="eastAsia" w:ascii="仿宋" w:hAnsi="仿宋" w:eastAsia="仿宋"/>
          <w:sz w:val="28"/>
          <w:szCs w:val="28"/>
        </w:rPr>
        <w:t>每门课程应根据课程标准，并按照《湖南省亚行贷款软实力建设职业教育体系建设项目网络在线开放课程整体教学设计及单元设计》模版的要求，完成每门课程的教学整体教学设计和若干个单元教学设计。课程整体教学设计包含基本信息、课程设计、学习资源，单元教学设计应包含单元基本信息、单元教学设计等内容。每门课程教学单元设计数量不得少于10个。</w:t>
      </w:r>
    </w:p>
    <w:p>
      <w:pPr>
        <w:ind w:firstLine="560" w:firstLineChars="200"/>
        <w:rPr>
          <w:rFonts w:ascii="仿宋" w:hAnsi="仿宋" w:eastAsia="仿宋"/>
          <w:sz w:val="28"/>
          <w:szCs w:val="28"/>
        </w:rPr>
      </w:pPr>
      <w:r>
        <w:rPr>
          <w:rFonts w:hint="eastAsia" w:ascii="仿宋" w:hAnsi="仿宋" w:eastAsia="仿宋"/>
          <w:sz w:val="28"/>
          <w:szCs w:val="28"/>
        </w:rPr>
        <w:t>4.课件演示文稿及其他文档</w:t>
      </w:r>
    </w:p>
    <w:p>
      <w:pPr>
        <w:ind w:firstLine="560" w:firstLineChars="200"/>
        <w:rPr>
          <w:rFonts w:ascii="仿宋" w:hAnsi="仿宋" w:eastAsia="仿宋"/>
          <w:sz w:val="28"/>
          <w:szCs w:val="28"/>
        </w:rPr>
      </w:pPr>
      <w:r>
        <w:rPr>
          <w:rFonts w:hint="eastAsia" w:ascii="仿宋" w:hAnsi="仿宋" w:eastAsia="仿宋"/>
          <w:sz w:val="28"/>
          <w:szCs w:val="28"/>
        </w:rPr>
        <w:t>每门课程应根据课程内容设计课程演示文稿。课件演示文稿应包含每一个教学单元的PPT，其他文档应包含其他参考资料、文献等参考资料。演示文稿和其他格式文档需以PDF文档的格式上传；也可使用平台提供的富文本编辑器在线编辑。每门课程课件数量不得少于10个。</w:t>
      </w:r>
    </w:p>
    <w:p>
      <w:pPr>
        <w:ind w:firstLine="560" w:firstLineChars="200"/>
        <w:rPr>
          <w:rFonts w:ascii="仿宋" w:hAnsi="仿宋" w:eastAsia="仿宋"/>
          <w:sz w:val="28"/>
          <w:szCs w:val="28"/>
        </w:rPr>
      </w:pPr>
      <w:r>
        <w:rPr>
          <w:rFonts w:hint="eastAsia" w:ascii="仿宋" w:hAnsi="仿宋" w:eastAsia="仿宋"/>
          <w:sz w:val="28"/>
          <w:szCs w:val="28"/>
        </w:rPr>
        <w:t xml:space="preserve">5.试题库 </w:t>
      </w:r>
    </w:p>
    <w:p>
      <w:pPr>
        <w:ind w:firstLine="560" w:firstLineChars="200"/>
        <w:rPr>
          <w:rFonts w:ascii="仿宋" w:hAnsi="仿宋" w:eastAsia="仿宋"/>
          <w:sz w:val="28"/>
          <w:szCs w:val="28"/>
        </w:rPr>
      </w:pPr>
      <w:r>
        <w:rPr>
          <w:rFonts w:hint="eastAsia" w:ascii="仿宋" w:hAnsi="仿宋" w:eastAsia="仿宋"/>
          <w:sz w:val="28"/>
          <w:szCs w:val="28"/>
        </w:rPr>
        <w:t>每门课程需要设立试题库，便于教师对学生课程整体学习情况进行测试。试题库可包括客观题和主观题，不少于100道题。</w:t>
      </w:r>
    </w:p>
    <w:p>
      <w:pPr>
        <w:ind w:firstLine="560" w:firstLineChars="200"/>
        <w:rPr>
          <w:rFonts w:ascii="仿宋" w:hAnsi="仿宋" w:eastAsia="仿宋"/>
          <w:sz w:val="28"/>
          <w:szCs w:val="28"/>
        </w:rPr>
      </w:pPr>
      <w:r>
        <w:rPr>
          <w:rFonts w:hint="eastAsia" w:ascii="仿宋" w:hAnsi="仿宋" w:eastAsia="仿宋"/>
          <w:sz w:val="28"/>
          <w:szCs w:val="28"/>
        </w:rPr>
        <w:t>注：课程建设方案书、开题报告、总结报告，只提交给亚行，不需要在平台上传。</w:t>
      </w:r>
    </w:p>
    <w:p>
      <w:pPr>
        <w:ind w:firstLine="560" w:firstLineChars="200"/>
        <w:rPr>
          <w:rFonts w:ascii="仿宋" w:hAnsi="仿宋" w:eastAsia="仿宋"/>
          <w:sz w:val="28"/>
          <w:szCs w:val="28"/>
        </w:rPr>
      </w:pPr>
      <w:r>
        <w:rPr>
          <w:rFonts w:hint="eastAsia" w:ascii="仿宋" w:hAnsi="仿宋" w:eastAsia="仿宋"/>
          <w:sz w:val="28"/>
          <w:szCs w:val="28"/>
        </w:rPr>
        <w:t>（二）教学视频资源制作标准</w:t>
      </w:r>
    </w:p>
    <w:p>
      <w:pPr>
        <w:ind w:firstLine="560" w:firstLineChars="200"/>
        <w:rPr>
          <w:rFonts w:ascii="仿宋" w:hAnsi="仿宋" w:eastAsia="仿宋"/>
          <w:sz w:val="28"/>
          <w:szCs w:val="28"/>
        </w:rPr>
      </w:pPr>
      <w:r>
        <w:rPr>
          <w:rFonts w:hint="eastAsia" w:ascii="仿宋" w:hAnsi="仿宋" w:eastAsia="仿宋"/>
          <w:sz w:val="28"/>
          <w:szCs w:val="28"/>
        </w:rPr>
        <w:t>1.教学视频基本要求</w:t>
      </w:r>
    </w:p>
    <w:p>
      <w:pPr>
        <w:ind w:firstLine="560" w:firstLineChars="200"/>
        <w:rPr>
          <w:rFonts w:ascii="仿宋" w:hAnsi="仿宋" w:eastAsia="仿宋"/>
          <w:sz w:val="28"/>
          <w:szCs w:val="28"/>
        </w:rPr>
      </w:pPr>
      <w:r>
        <w:rPr>
          <w:rFonts w:hint="eastAsia" w:ascii="仿宋" w:hAnsi="仿宋" w:eastAsia="仿宋"/>
          <w:sz w:val="28"/>
          <w:szCs w:val="28"/>
        </w:rPr>
        <w:t>教学视频不能全程为课堂教学实录，应该采用颗粒化的方式组织，录制围绕知识点展开、清晰表达知识框架的系列微课程群。</w:t>
      </w:r>
    </w:p>
    <w:p>
      <w:pPr>
        <w:ind w:firstLine="560" w:firstLineChars="200"/>
        <w:rPr>
          <w:rFonts w:ascii="仿宋" w:hAnsi="仿宋" w:eastAsia="仿宋"/>
          <w:sz w:val="28"/>
          <w:szCs w:val="28"/>
        </w:rPr>
      </w:pPr>
      <w:r>
        <w:rPr>
          <w:rFonts w:hint="eastAsia" w:ascii="仿宋" w:hAnsi="仿宋" w:eastAsia="仿宋"/>
          <w:sz w:val="28"/>
          <w:szCs w:val="28"/>
        </w:rPr>
        <w:t>每个教学单元应有一个或者多个知识点，每个知识点由一个或多个5-10分钟的教学视频组成，相对独立完整。每门课程非录屏教学视频数量不得少于10个。</w:t>
      </w:r>
    </w:p>
    <w:p>
      <w:pPr>
        <w:ind w:firstLine="560" w:firstLineChars="200"/>
        <w:rPr>
          <w:rFonts w:ascii="仿宋" w:hAnsi="仿宋" w:eastAsia="仿宋"/>
          <w:sz w:val="28"/>
          <w:szCs w:val="28"/>
        </w:rPr>
      </w:pPr>
      <w:r>
        <w:rPr>
          <w:rFonts w:hint="eastAsia" w:ascii="仿宋" w:hAnsi="仿宋" w:eastAsia="仿宋"/>
          <w:sz w:val="28"/>
          <w:szCs w:val="28"/>
        </w:rPr>
        <w:t>2.视频拍摄与制作要求</w:t>
      </w:r>
    </w:p>
    <w:p>
      <w:pPr>
        <w:ind w:firstLine="560" w:firstLineChars="200"/>
        <w:rPr>
          <w:rFonts w:ascii="仿宋" w:hAnsi="仿宋" w:eastAsia="仿宋"/>
          <w:sz w:val="28"/>
          <w:szCs w:val="28"/>
        </w:rPr>
      </w:pPr>
      <w:r>
        <w:rPr>
          <w:rFonts w:hint="eastAsia" w:ascii="仿宋" w:hAnsi="仿宋" w:eastAsia="仿宋"/>
          <w:sz w:val="28"/>
          <w:szCs w:val="28"/>
        </w:rPr>
        <w:t>（1）屏幕图像的构图合理，画面主体突出。人像及肢体动作以及配合讲授选用的板书、画板、教具实物、模型和实验设备等均不能超出镜头所及范围。</w:t>
      </w:r>
    </w:p>
    <w:p>
      <w:pPr>
        <w:ind w:firstLine="560" w:firstLineChars="200"/>
        <w:rPr>
          <w:rFonts w:ascii="仿宋" w:hAnsi="仿宋" w:eastAsia="仿宋"/>
          <w:sz w:val="28"/>
          <w:szCs w:val="28"/>
        </w:rPr>
      </w:pPr>
      <w:r>
        <w:rPr>
          <w:rFonts w:hint="eastAsia" w:ascii="仿宋" w:hAnsi="仿宋" w:eastAsia="仿宋"/>
          <w:sz w:val="28"/>
          <w:szCs w:val="28"/>
        </w:rPr>
        <w:t>（2）授课视频的背景可采用彩色喷绘、电脑虚拟或现场实景等背景。背景的颜色、图案不易过多，应保持静态，画面应简洁、明快，有利于营造学习气氛。</w:t>
      </w:r>
    </w:p>
    <w:p>
      <w:pPr>
        <w:ind w:firstLine="560" w:firstLineChars="200"/>
        <w:rPr>
          <w:rFonts w:ascii="仿宋" w:hAnsi="仿宋" w:eastAsia="仿宋"/>
          <w:sz w:val="28"/>
          <w:szCs w:val="28"/>
        </w:rPr>
      </w:pPr>
      <w:r>
        <w:rPr>
          <w:rFonts w:hint="eastAsia" w:ascii="仿宋" w:hAnsi="仿宋" w:eastAsia="仿宋"/>
          <w:sz w:val="28"/>
          <w:szCs w:val="28"/>
        </w:rPr>
        <w:t>（3）摄像镜头应保持与主讲教师目光平视的角度。主讲教师不应较长时间仰视或俯视。</w:t>
      </w:r>
    </w:p>
    <w:p>
      <w:pPr>
        <w:ind w:firstLine="560" w:firstLineChars="200"/>
        <w:rPr>
          <w:rFonts w:ascii="仿宋" w:hAnsi="仿宋" w:eastAsia="仿宋"/>
          <w:sz w:val="28"/>
          <w:szCs w:val="28"/>
        </w:rPr>
      </w:pPr>
      <w:r>
        <w:rPr>
          <w:rFonts w:hint="eastAsia" w:ascii="仿宋" w:hAnsi="仿宋" w:eastAsia="仿宋"/>
          <w:sz w:val="28"/>
          <w:szCs w:val="28"/>
        </w:rPr>
        <w:t>（4）使用资料、图片、外景实拍、实验和表演等形象化教学手段，应符合教学内容要求，与讲授内容联系紧密，手段选用恰当。</w:t>
      </w:r>
    </w:p>
    <w:p>
      <w:pPr>
        <w:ind w:firstLine="560" w:firstLineChars="200"/>
        <w:rPr>
          <w:rFonts w:ascii="仿宋" w:hAnsi="仿宋" w:eastAsia="仿宋"/>
          <w:sz w:val="28"/>
          <w:szCs w:val="28"/>
        </w:rPr>
      </w:pPr>
      <w:r>
        <w:rPr>
          <w:rFonts w:hint="eastAsia" w:ascii="仿宋" w:hAnsi="仿宋" w:eastAsia="仿宋"/>
          <w:sz w:val="28"/>
          <w:szCs w:val="28"/>
        </w:rPr>
        <w:t>（5）选用影视作品或自拍素材，应注明素材来源并获得相应授权。影视作品或自拍素材中涉及人物访谈内容时，应加注人物介绍。</w:t>
      </w:r>
    </w:p>
    <w:p>
      <w:pPr>
        <w:ind w:firstLine="560" w:firstLineChars="200"/>
        <w:rPr>
          <w:rFonts w:ascii="仿宋" w:hAnsi="仿宋" w:eastAsia="仿宋"/>
          <w:sz w:val="28"/>
          <w:szCs w:val="28"/>
        </w:rPr>
      </w:pPr>
      <w:r>
        <w:rPr>
          <w:rFonts w:hint="eastAsia" w:ascii="仿宋" w:hAnsi="仿宋" w:eastAsia="仿宋"/>
          <w:sz w:val="28"/>
          <w:szCs w:val="28"/>
        </w:rPr>
        <w:t>（6）选用的资料、图片等素材画面应清楚，对于历史资料、图片应进行再加工。选用的资料、图片等素材应注明素材来源、动画的设计与使用，要与课程内容相贴切，能够发挥良好的教学效果。</w:t>
      </w:r>
    </w:p>
    <w:p>
      <w:pPr>
        <w:ind w:firstLine="560" w:firstLineChars="200"/>
        <w:rPr>
          <w:rFonts w:ascii="仿宋" w:hAnsi="仿宋" w:eastAsia="仿宋"/>
          <w:sz w:val="28"/>
          <w:szCs w:val="28"/>
        </w:rPr>
      </w:pPr>
      <w:r>
        <w:rPr>
          <w:rFonts w:hint="eastAsia" w:ascii="仿宋" w:hAnsi="仿宋" w:eastAsia="仿宋"/>
          <w:sz w:val="28"/>
          <w:szCs w:val="28"/>
        </w:rPr>
        <w:t>（7）动画的实现须流畅、合理、图像清晰，具有较强的可视性。</w:t>
      </w:r>
    </w:p>
    <w:p>
      <w:pPr>
        <w:ind w:firstLine="560" w:firstLineChars="200"/>
        <w:rPr>
          <w:rFonts w:ascii="仿宋" w:hAnsi="仿宋" w:eastAsia="仿宋"/>
          <w:sz w:val="28"/>
          <w:szCs w:val="28"/>
        </w:rPr>
      </w:pPr>
      <w:r>
        <w:rPr>
          <w:rFonts w:hint="eastAsia" w:ascii="仿宋" w:hAnsi="仿宋" w:eastAsia="仿宋"/>
          <w:sz w:val="28"/>
          <w:szCs w:val="28"/>
        </w:rPr>
        <w:t>3.视频技术规格</w:t>
      </w:r>
    </w:p>
    <w:p>
      <w:pPr>
        <w:ind w:firstLine="560" w:firstLineChars="200"/>
        <w:rPr>
          <w:rFonts w:ascii="仿宋" w:hAnsi="仿宋" w:eastAsia="仿宋"/>
          <w:sz w:val="28"/>
          <w:szCs w:val="28"/>
        </w:rPr>
      </w:pPr>
      <w:r>
        <w:rPr>
          <w:rFonts w:hint="eastAsia" w:ascii="仿宋" w:hAnsi="仿宋" w:eastAsia="仿宋"/>
          <w:sz w:val="28"/>
          <w:szCs w:val="28"/>
        </w:rPr>
        <w:t>（1）稳定性：全片图像同步性能稳定，无失步现象，图像无抖动跳跃，色彩无突变，编辑点处图像稳定。</w:t>
      </w:r>
    </w:p>
    <w:p>
      <w:pPr>
        <w:ind w:firstLine="560" w:firstLineChars="200"/>
        <w:rPr>
          <w:rFonts w:ascii="仿宋" w:hAnsi="仿宋" w:eastAsia="仿宋"/>
          <w:sz w:val="28"/>
          <w:szCs w:val="28"/>
        </w:rPr>
      </w:pPr>
      <w:r>
        <w:rPr>
          <w:rFonts w:hint="eastAsia" w:ascii="仿宋" w:hAnsi="仿宋" w:eastAsia="仿宋"/>
          <w:sz w:val="28"/>
          <w:szCs w:val="28"/>
        </w:rPr>
        <w:t>（2）色调：白平衡正确，无明显偏色，多机拍摄的镜头衔接处无明显。</w:t>
      </w:r>
    </w:p>
    <w:p>
      <w:pPr>
        <w:ind w:firstLine="560" w:firstLineChars="200"/>
        <w:rPr>
          <w:rFonts w:ascii="仿宋" w:hAnsi="仿宋" w:eastAsia="仿宋"/>
          <w:sz w:val="28"/>
          <w:szCs w:val="28"/>
        </w:rPr>
      </w:pPr>
      <w:r>
        <w:rPr>
          <w:rFonts w:hint="eastAsia" w:ascii="仿宋" w:hAnsi="仿宋" w:eastAsia="仿宋"/>
          <w:sz w:val="28"/>
          <w:szCs w:val="28"/>
        </w:rPr>
        <w:t>（3）视频压缩与封装：采用H.264编码，MP4格式。</w:t>
      </w:r>
    </w:p>
    <w:p>
      <w:pPr>
        <w:ind w:firstLine="560" w:firstLineChars="200"/>
        <w:rPr>
          <w:rFonts w:ascii="仿宋" w:hAnsi="仿宋" w:eastAsia="仿宋"/>
          <w:sz w:val="28"/>
          <w:szCs w:val="28"/>
        </w:rPr>
      </w:pPr>
      <w:r>
        <w:rPr>
          <w:rFonts w:hint="eastAsia" w:ascii="仿宋" w:hAnsi="仿宋" w:eastAsia="仿宋"/>
          <w:sz w:val="28"/>
          <w:szCs w:val="28"/>
        </w:rPr>
        <w:t>（4）视频码流率：动态码流的最低码率不得低于1024Kb。</w:t>
      </w:r>
    </w:p>
    <w:p>
      <w:pPr>
        <w:ind w:firstLine="560" w:firstLineChars="200"/>
        <w:rPr>
          <w:rFonts w:ascii="仿宋" w:hAnsi="仿宋" w:eastAsia="仿宋"/>
          <w:sz w:val="28"/>
          <w:szCs w:val="28"/>
        </w:rPr>
      </w:pPr>
      <w:r>
        <w:rPr>
          <w:rFonts w:hint="eastAsia" w:ascii="仿宋" w:hAnsi="仿宋" w:eastAsia="仿宋"/>
          <w:sz w:val="28"/>
          <w:szCs w:val="28"/>
        </w:rPr>
        <w:t>（5）视频分辨率：1280×720或 1920×1080。</w:t>
      </w:r>
    </w:p>
    <w:p>
      <w:pPr>
        <w:ind w:firstLine="560" w:firstLineChars="200"/>
        <w:rPr>
          <w:rFonts w:ascii="仿宋" w:hAnsi="仿宋" w:eastAsia="仿宋"/>
          <w:sz w:val="28"/>
          <w:szCs w:val="28"/>
        </w:rPr>
      </w:pPr>
      <w:r>
        <w:rPr>
          <w:rFonts w:hint="eastAsia" w:ascii="仿宋" w:hAnsi="仿宋" w:eastAsia="仿宋"/>
          <w:sz w:val="28"/>
          <w:szCs w:val="28"/>
        </w:rPr>
        <w:t>（6）视频画幅宽高比：视频画幅宽高比为16:9。</w:t>
      </w:r>
    </w:p>
    <w:p>
      <w:pPr>
        <w:ind w:firstLine="560" w:firstLineChars="200"/>
        <w:rPr>
          <w:rFonts w:ascii="仿宋" w:hAnsi="仿宋" w:eastAsia="仿宋"/>
          <w:sz w:val="28"/>
          <w:szCs w:val="28"/>
        </w:rPr>
      </w:pPr>
      <w:r>
        <w:rPr>
          <w:rFonts w:hint="eastAsia" w:ascii="仿宋" w:hAnsi="仿宋" w:eastAsia="仿宋"/>
          <w:sz w:val="28"/>
          <w:szCs w:val="28"/>
        </w:rPr>
        <w:t>（7）视频帧率：25帧/ 秒，扫描方式采用逐行扫描。</w:t>
      </w:r>
    </w:p>
    <w:p>
      <w:pPr>
        <w:ind w:firstLine="560" w:firstLineChars="200"/>
        <w:rPr>
          <w:rFonts w:ascii="仿宋" w:hAnsi="仿宋" w:eastAsia="仿宋"/>
          <w:sz w:val="28"/>
          <w:szCs w:val="28"/>
        </w:rPr>
      </w:pPr>
      <w:r>
        <w:rPr>
          <w:rFonts w:hint="eastAsia" w:ascii="仿宋" w:hAnsi="仿宋" w:eastAsia="仿宋"/>
          <w:sz w:val="28"/>
          <w:szCs w:val="28"/>
        </w:rPr>
        <w:t>（8）视频码率为不低于 8Mbps。</w:t>
      </w:r>
    </w:p>
    <w:p>
      <w:pPr>
        <w:ind w:firstLine="560" w:firstLineChars="200"/>
        <w:rPr>
          <w:rFonts w:ascii="仿宋" w:hAnsi="仿宋" w:eastAsia="仿宋"/>
          <w:sz w:val="28"/>
          <w:szCs w:val="28"/>
        </w:rPr>
      </w:pPr>
      <w:r>
        <w:rPr>
          <w:rFonts w:hint="eastAsia" w:ascii="仿宋" w:hAnsi="仿宋" w:eastAsia="仿宋"/>
          <w:sz w:val="28"/>
          <w:szCs w:val="28"/>
        </w:rPr>
        <w:t>4.音频技术规格</w:t>
      </w:r>
    </w:p>
    <w:p>
      <w:pPr>
        <w:ind w:firstLine="560" w:firstLineChars="200"/>
        <w:rPr>
          <w:rFonts w:ascii="仿宋" w:hAnsi="仿宋" w:eastAsia="仿宋"/>
          <w:sz w:val="28"/>
          <w:szCs w:val="28"/>
        </w:rPr>
      </w:pPr>
      <w:r>
        <w:rPr>
          <w:rFonts w:hint="eastAsia" w:ascii="仿宋" w:hAnsi="仿宋" w:eastAsia="仿宋"/>
          <w:sz w:val="28"/>
          <w:szCs w:val="28"/>
        </w:rPr>
        <w:t>（1）音频压缩与封装：采用线性高级音频编码格式AAC(MPEG4 Part3)格式。</w:t>
      </w:r>
    </w:p>
    <w:p>
      <w:pPr>
        <w:ind w:firstLine="560" w:firstLineChars="200"/>
        <w:rPr>
          <w:rFonts w:ascii="仿宋" w:hAnsi="仿宋" w:eastAsia="仿宋"/>
          <w:sz w:val="28"/>
          <w:szCs w:val="28"/>
        </w:rPr>
      </w:pPr>
      <w:r>
        <w:rPr>
          <w:rFonts w:hint="eastAsia" w:ascii="仿宋" w:hAnsi="仿宋" w:eastAsia="仿宋"/>
          <w:sz w:val="28"/>
          <w:szCs w:val="28"/>
        </w:rPr>
        <w:t>（2）音频采样率：不低于48kHz，16位采样。</w:t>
      </w:r>
    </w:p>
    <w:p>
      <w:pPr>
        <w:ind w:firstLine="560" w:firstLineChars="200"/>
        <w:rPr>
          <w:rFonts w:ascii="仿宋" w:hAnsi="仿宋" w:eastAsia="仿宋"/>
          <w:sz w:val="28"/>
          <w:szCs w:val="28"/>
        </w:rPr>
      </w:pPr>
      <w:r>
        <w:rPr>
          <w:rFonts w:hint="eastAsia" w:ascii="仿宋" w:hAnsi="仿宋" w:eastAsia="仿宋"/>
          <w:sz w:val="28"/>
          <w:szCs w:val="28"/>
        </w:rPr>
        <w:t>（3）音频码率：不低于1.4Mbps。</w:t>
      </w:r>
    </w:p>
    <w:p>
      <w:pPr>
        <w:ind w:firstLine="560" w:firstLineChars="200"/>
        <w:rPr>
          <w:rFonts w:ascii="仿宋" w:hAnsi="仿宋" w:eastAsia="仿宋"/>
          <w:sz w:val="28"/>
          <w:szCs w:val="28"/>
        </w:rPr>
      </w:pPr>
      <w:r>
        <w:rPr>
          <w:rFonts w:hint="eastAsia" w:ascii="仿宋" w:hAnsi="仿宋" w:eastAsia="仿宋"/>
          <w:sz w:val="28"/>
          <w:szCs w:val="28"/>
        </w:rPr>
        <w:t>（4）音频声道：应采用双声道，做混音处理。</w:t>
      </w:r>
    </w:p>
    <w:p>
      <w:pPr>
        <w:ind w:firstLine="560" w:firstLineChars="200"/>
        <w:rPr>
          <w:rFonts w:ascii="仿宋" w:hAnsi="仿宋" w:eastAsia="仿宋"/>
          <w:sz w:val="28"/>
          <w:szCs w:val="28"/>
        </w:rPr>
      </w:pPr>
      <w:r>
        <w:rPr>
          <w:rFonts w:hint="eastAsia" w:ascii="仿宋" w:hAnsi="仿宋" w:eastAsia="仿宋"/>
          <w:sz w:val="28"/>
          <w:szCs w:val="28"/>
        </w:rPr>
        <w:t>（5）音频信噪比：大于50dB。</w:t>
      </w:r>
    </w:p>
    <w:p>
      <w:pPr>
        <w:ind w:firstLine="560" w:firstLineChars="200"/>
        <w:rPr>
          <w:rFonts w:ascii="仿宋" w:hAnsi="仿宋" w:eastAsia="仿宋"/>
          <w:sz w:val="28"/>
          <w:szCs w:val="28"/>
        </w:rPr>
      </w:pPr>
      <w:r>
        <w:rPr>
          <w:rFonts w:hint="eastAsia" w:ascii="仿宋" w:hAnsi="仿宋" w:eastAsia="仿宋"/>
          <w:sz w:val="28"/>
          <w:szCs w:val="28"/>
        </w:rPr>
        <w:t>（6）课程视频的唇音同步时间≥65毫秒。</w:t>
      </w:r>
    </w:p>
    <w:p>
      <w:pPr>
        <w:ind w:firstLine="560" w:firstLineChars="200"/>
        <w:rPr>
          <w:rFonts w:ascii="仿宋" w:hAnsi="仿宋" w:eastAsia="仿宋"/>
          <w:sz w:val="28"/>
          <w:szCs w:val="28"/>
        </w:rPr>
      </w:pPr>
      <w:r>
        <w:rPr>
          <w:rFonts w:hint="eastAsia" w:ascii="仿宋" w:hAnsi="仿宋" w:eastAsia="仿宋"/>
          <w:sz w:val="28"/>
          <w:szCs w:val="28"/>
        </w:rPr>
        <w:t>（7）声音效果：伴音清晰、饱满、圆润，无失真、噪声杂音干扰、音量忽大忽小现象。解说声与现场声无明显比例失调，解说声与背景音乐无明显比例失调。</w:t>
      </w:r>
    </w:p>
    <w:p>
      <w:pPr>
        <w:ind w:firstLine="560" w:firstLineChars="200"/>
        <w:rPr>
          <w:rFonts w:ascii="仿宋" w:hAnsi="仿宋" w:eastAsia="仿宋"/>
          <w:sz w:val="28"/>
          <w:szCs w:val="28"/>
        </w:rPr>
      </w:pPr>
      <w:r>
        <w:rPr>
          <w:rFonts w:hint="eastAsia" w:ascii="仿宋" w:hAnsi="仿宋" w:eastAsia="仿宋"/>
          <w:sz w:val="28"/>
          <w:szCs w:val="28"/>
        </w:rPr>
        <w:t>5.字幕与剪辑</w:t>
      </w:r>
    </w:p>
    <w:p>
      <w:pPr>
        <w:ind w:firstLine="560" w:firstLineChars="200"/>
        <w:rPr>
          <w:rFonts w:ascii="仿宋" w:hAnsi="仿宋" w:eastAsia="仿宋"/>
          <w:sz w:val="28"/>
          <w:szCs w:val="28"/>
        </w:rPr>
      </w:pPr>
      <w:r>
        <w:rPr>
          <w:rFonts w:hint="eastAsia" w:ascii="仿宋" w:hAnsi="仿宋" w:eastAsia="仿宋"/>
          <w:sz w:val="28"/>
          <w:szCs w:val="28"/>
        </w:rPr>
        <w:t>（1）剪辑要求：剪辑衔接自然，无空白帧。</w:t>
      </w:r>
    </w:p>
    <w:p>
      <w:pPr>
        <w:ind w:firstLine="560" w:firstLineChars="200"/>
        <w:rPr>
          <w:rFonts w:ascii="仿宋" w:hAnsi="仿宋" w:eastAsia="仿宋"/>
          <w:sz w:val="28"/>
          <w:szCs w:val="28"/>
        </w:rPr>
      </w:pPr>
      <w:r>
        <w:rPr>
          <w:rFonts w:hint="eastAsia" w:ascii="仿宋" w:hAnsi="仿宋" w:eastAsia="仿宋"/>
          <w:sz w:val="28"/>
          <w:szCs w:val="28"/>
        </w:rPr>
        <w:t>（2）字幕文件格式：字幕不能固定加在视频上，必须提供独立的SRT格式的字幕文件，字幕文件采用SRT格式，中英文字幕需分成两个SRT文件。</w:t>
      </w:r>
    </w:p>
    <w:p>
      <w:pPr>
        <w:ind w:firstLine="560" w:firstLineChars="200"/>
        <w:rPr>
          <w:rFonts w:ascii="仿宋" w:hAnsi="仿宋" w:eastAsia="仿宋"/>
          <w:sz w:val="28"/>
          <w:szCs w:val="28"/>
        </w:rPr>
      </w:pPr>
      <w:r>
        <w:rPr>
          <w:rFonts w:hint="eastAsia" w:ascii="仿宋" w:hAnsi="仿宋" w:eastAsia="仿宋"/>
          <w:sz w:val="28"/>
          <w:szCs w:val="28"/>
        </w:rPr>
        <w:t>（3）字幕编码：中文字幕必须采用UTF-8编码。</w:t>
      </w:r>
    </w:p>
    <w:p>
      <w:pPr>
        <w:ind w:firstLine="560" w:firstLineChars="200"/>
        <w:rPr>
          <w:rFonts w:ascii="仿宋" w:hAnsi="仿宋" w:eastAsia="仿宋"/>
          <w:sz w:val="28"/>
          <w:szCs w:val="28"/>
        </w:rPr>
      </w:pPr>
      <w:r>
        <w:rPr>
          <w:rFonts w:hint="eastAsia" w:ascii="仿宋" w:hAnsi="仿宋" w:eastAsia="仿宋"/>
          <w:sz w:val="28"/>
          <w:szCs w:val="28"/>
        </w:rPr>
        <w:t>（4）字幕时间轴：时间轴准确，字幕出现时间与视频声音一致。</w:t>
      </w:r>
    </w:p>
    <w:p>
      <w:pPr>
        <w:ind w:firstLine="560" w:firstLineChars="200"/>
        <w:rPr>
          <w:rFonts w:ascii="仿宋" w:hAnsi="仿宋" w:eastAsia="仿宋"/>
          <w:sz w:val="28"/>
          <w:szCs w:val="28"/>
        </w:rPr>
      </w:pPr>
      <w:r>
        <w:rPr>
          <w:rFonts w:hint="eastAsia" w:ascii="仿宋" w:hAnsi="仿宋" w:eastAsia="仿宋"/>
          <w:sz w:val="28"/>
          <w:szCs w:val="28"/>
        </w:rPr>
        <w:t>（5）字幕字数要求：每屏只有一行字幕，每行不超过20个字。</w:t>
      </w:r>
    </w:p>
    <w:p>
      <w:pPr>
        <w:ind w:firstLine="560" w:firstLineChars="200"/>
        <w:rPr>
          <w:rFonts w:ascii="仿宋" w:hAnsi="仿宋" w:eastAsia="仿宋"/>
          <w:sz w:val="28"/>
          <w:szCs w:val="28"/>
        </w:rPr>
      </w:pPr>
      <w:r>
        <w:rPr>
          <w:rFonts w:hint="eastAsia" w:ascii="仿宋" w:hAnsi="仿宋" w:eastAsia="仿宋"/>
          <w:sz w:val="28"/>
          <w:szCs w:val="28"/>
        </w:rPr>
        <w:t>（6）字幕文字内容：字幕文字错误率不能超过1%。</w:t>
      </w:r>
    </w:p>
    <w:p>
      <w:pPr>
        <w:ind w:firstLine="560" w:firstLineChars="200"/>
        <w:rPr>
          <w:rFonts w:ascii="仿宋" w:hAnsi="仿宋" w:eastAsia="仿宋"/>
          <w:sz w:val="28"/>
          <w:szCs w:val="28"/>
        </w:rPr>
      </w:pPr>
      <w:r>
        <w:rPr>
          <w:rFonts w:hint="eastAsia" w:ascii="仿宋" w:hAnsi="仿宋" w:eastAsia="仿宋"/>
          <w:sz w:val="28"/>
          <w:szCs w:val="28"/>
        </w:rPr>
        <w:t>6.片头与片尾</w:t>
      </w:r>
    </w:p>
    <w:p>
      <w:pPr>
        <w:ind w:firstLine="560" w:firstLineChars="200"/>
        <w:rPr>
          <w:rFonts w:ascii="仿宋" w:hAnsi="仿宋" w:eastAsia="仿宋"/>
          <w:sz w:val="28"/>
          <w:szCs w:val="28"/>
        </w:rPr>
      </w:pPr>
      <w:r>
        <w:rPr>
          <w:rFonts w:hint="eastAsia" w:ascii="仿宋" w:hAnsi="仿宋" w:eastAsia="仿宋"/>
          <w:sz w:val="28"/>
          <w:szCs w:val="28"/>
        </w:rPr>
        <w:t>（1）片头：标注“湖南省亚行贷款软实力建设项目”及学校LOGO。</w:t>
      </w:r>
    </w:p>
    <w:p>
      <w:pPr>
        <w:ind w:firstLine="560" w:firstLineChars="200"/>
        <w:rPr>
          <w:rFonts w:ascii="仿宋" w:hAnsi="仿宋" w:eastAsia="仿宋"/>
          <w:sz w:val="28"/>
          <w:szCs w:val="28"/>
        </w:rPr>
      </w:pPr>
      <w:r>
        <w:rPr>
          <w:rFonts w:hint="eastAsia" w:ascii="仿宋" w:hAnsi="仿宋" w:eastAsia="仿宋"/>
          <w:sz w:val="28"/>
          <w:szCs w:val="28"/>
        </w:rPr>
        <w:t>（2）片尾：时长应不超过10秒，可包括版权单位、可以有鸣谢单位或个人信息。</w:t>
      </w:r>
    </w:p>
    <w:p>
      <w:pPr>
        <w:ind w:firstLine="560" w:firstLineChars="200"/>
        <w:rPr>
          <w:rFonts w:ascii="仿宋" w:hAnsi="仿宋" w:eastAsia="仿宋"/>
          <w:sz w:val="28"/>
          <w:szCs w:val="28"/>
        </w:rPr>
      </w:pPr>
    </w:p>
    <w:p>
      <w:pPr>
        <w:ind w:firstLine="2240" w:firstLineChars="700"/>
        <w:rPr>
          <w:rFonts w:ascii="黑体" w:hAnsi="黑体" w:eastAsia="黑体" w:cs="黑体"/>
          <w:sz w:val="32"/>
          <w:szCs w:val="32"/>
        </w:rPr>
      </w:pPr>
    </w:p>
    <w:p>
      <w:pPr>
        <w:ind w:firstLine="2240" w:firstLineChars="700"/>
        <w:rPr>
          <w:rFonts w:ascii="黑体" w:hAnsi="黑体" w:eastAsia="黑体" w:cs="黑体"/>
          <w:sz w:val="32"/>
          <w:szCs w:val="32"/>
        </w:rPr>
      </w:pPr>
    </w:p>
    <w:p>
      <w:pPr>
        <w:ind w:firstLine="2240" w:firstLineChars="700"/>
        <w:rPr>
          <w:rFonts w:ascii="黑体" w:hAnsi="黑体" w:eastAsia="黑体" w:cs="黑体"/>
          <w:sz w:val="32"/>
          <w:szCs w:val="32"/>
        </w:rPr>
      </w:pPr>
    </w:p>
    <w:p>
      <w:pPr>
        <w:ind w:firstLine="2240" w:firstLineChars="700"/>
        <w:rPr>
          <w:rFonts w:ascii="黑体" w:hAnsi="黑体" w:eastAsia="黑体" w:cs="黑体"/>
          <w:sz w:val="32"/>
          <w:szCs w:val="32"/>
        </w:rPr>
      </w:pPr>
    </w:p>
    <w:p>
      <w:pPr>
        <w:ind w:firstLine="2240" w:firstLineChars="700"/>
        <w:rPr>
          <w:rFonts w:ascii="黑体" w:hAnsi="黑体" w:eastAsia="黑体" w:cs="黑体"/>
          <w:sz w:val="32"/>
          <w:szCs w:val="32"/>
        </w:rPr>
      </w:pPr>
    </w:p>
    <w:p>
      <w:pPr>
        <w:ind w:firstLine="2240" w:firstLineChars="700"/>
        <w:rPr>
          <w:rFonts w:ascii="黑体" w:hAnsi="黑体" w:eastAsia="黑体" w:cs="黑体"/>
          <w:sz w:val="32"/>
          <w:szCs w:val="32"/>
        </w:rPr>
      </w:pPr>
    </w:p>
    <w:p>
      <w:pPr>
        <w:ind w:firstLine="2240" w:firstLineChars="700"/>
        <w:rPr>
          <w:rFonts w:ascii="黑体" w:hAnsi="黑体" w:eastAsia="黑体" w:cs="黑体"/>
          <w:sz w:val="32"/>
          <w:szCs w:val="32"/>
        </w:rPr>
      </w:pPr>
    </w:p>
    <w:p>
      <w:pPr>
        <w:ind w:firstLine="2240" w:firstLineChars="700"/>
        <w:rPr>
          <w:rFonts w:ascii="黑体" w:hAnsi="黑体" w:eastAsia="黑体" w:cs="黑体"/>
          <w:sz w:val="32"/>
          <w:szCs w:val="32"/>
        </w:rPr>
      </w:pPr>
    </w:p>
    <w:p>
      <w:pPr>
        <w:ind w:firstLine="2240" w:firstLineChars="700"/>
        <w:rPr>
          <w:rFonts w:ascii="黑体" w:hAnsi="黑体" w:eastAsia="黑体" w:cs="黑体"/>
          <w:sz w:val="32"/>
          <w:szCs w:val="32"/>
        </w:rPr>
      </w:pPr>
    </w:p>
    <w:p>
      <w:pPr>
        <w:spacing w:after="156" w:afterLines="50"/>
        <w:ind w:firstLine="2240" w:firstLineChars="700"/>
        <w:rPr>
          <w:rFonts w:hint="eastAsia" w:ascii="黑体" w:hAnsi="黑体" w:eastAsia="黑体" w:cs="黑体"/>
          <w:sz w:val="32"/>
          <w:szCs w:val="32"/>
        </w:rPr>
      </w:pPr>
    </w:p>
    <w:p>
      <w:pPr>
        <w:spacing w:after="156" w:afterLines="50"/>
        <w:ind w:firstLine="2240" w:firstLineChars="700"/>
        <w:rPr>
          <w:rFonts w:hint="eastAsia" w:ascii="黑体" w:hAnsi="黑体" w:eastAsia="黑体" w:cs="黑体"/>
          <w:sz w:val="32"/>
          <w:szCs w:val="32"/>
        </w:rPr>
      </w:pPr>
    </w:p>
    <w:p>
      <w:pPr>
        <w:spacing w:after="156" w:afterLines="50"/>
        <w:ind w:firstLine="2240" w:firstLineChars="700"/>
        <w:rPr>
          <w:rFonts w:hint="eastAsia" w:ascii="黑体" w:hAnsi="黑体" w:eastAsia="黑体" w:cs="黑体"/>
          <w:sz w:val="32"/>
          <w:szCs w:val="32"/>
        </w:rPr>
      </w:pPr>
    </w:p>
    <w:p>
      <w:pPr>
        <w:spacing w:after="156" w:afterLines="50"/>
        <w:ind w:firstLine="2240" w:firstLineChars="700"/>
        <w:rPr>
          <w:rFonts w:hint="eastAsia" w:ascii="黑体" w:hAnsi="黑体" w:eastAsia="黑体" w:cs="黑体"/>
          <w:sz w:val="32"/>
          <w:szCs w:val="32"/>
        </w:rPr>
      </w:pPr>
    </w:p>
    <w:p>
      <w:pPr>
        <w:spacing w:after="156" w:afterLines="50"/>
        <w:ind w:firstLine="2240" w:firstLineChars="700"/>
        <w:rPr>
          <w:rFonts w:ascii="黑体" w:hAnsi="黑体" w:eastAsia="黑体" w:cs="黑体"/>
          <w:sz w:val="32"/>
          <w:szCs w:val="32"/>
        </w:rPr>
      </w:pPr>
      <w:r>
        <w:rPr>
          <w:rFonts w:hint="eastAsia" w:ascii="黑体" w:hAnsi="黑体" w:eastAsia="黑体" w:cs="黑体"/>
          <w:sz w:val="32"/>
          <w:szCs w:val="32"/>
        </w:rPr>
        <w:t>亚行网络课程建设验收标准</w:t>
      </w: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5954"/>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Calibri" w:hAnsi="Calibri"/>
                <w:b/>
                <w:color w:val="000000"/>
                <w:kern w:val="0"/>
                <w:sz w:val="20"/>
                <w:szCs w:val="20"/>
              </w:rPr>
            </w:pPr>
            <w:r>
              <w:rPr>
                <w:rFonts w:ascii="Calibri" w:hAnsi="Calibri"/>
                <w:b/>
                <w:bCs/>
                <w:color w:val="000000"/>
                <w:kern w:val="0"/>
                <w:sz w:val="22"/>
              </w:rPr>
              <w:t>一级指标</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Calibri" w:hAnsi="Calibri"/>
                <w:b/>
                <w:color w:val="000000"/>
                <w:kern w:val="0"/>
                <w:sz w:val="20"/>
                <w:szCs w:val="20"/>
              </w:rPr>
            </w:pPr>
            <w:r>
              <w:rPr>
                <w:rFonts w:ascii="Calibri" w:hAnsi="Calibri"/>
                <w:b/>
                <w:bCs/>
                <w:color w:val="000000"/>
                <w:kern w:val="0"/>
                <w:sz w:val="22"/>
              </w:rPr>
              <w:t>二级指标</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Calibri" w:hAnsi="Calibri"/>
                <w:bCs/>
                <w:color w:val="000000"/>
                <w:kern w:val="0"/>
                <w:sz w:val="20"/>
                <w:szCs w:val="20"/>
              </w:rPr>
            </w:pPr>
            <w:r>
              <w:rPr>
                <w:rFonts w:ascii="Calibri" w:hAnsi="Calibri"/>
                <w:b/>
                <w:bCs/>
                <w:color w:val="000000"/>
                <w:kern w:val="0"/>
                <w:sz w:val="22"/>
              </w:rPr>
              <w:t>评审标准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Calibri" w:hAnsi="Calibri"/>
                <w:bCs/>
                <w:color w:val="000000"/>
                <w:kern w:val="0"/>
                <w:sz w:val="20"/>
                <w:szCs w:val="20"/>
              </w:rPr>
            </w:pPr>
            <w:r>
              <w:rPr>
                <w:rFonts w:ascii="Calibri" w:hAnsi="Calibri"/>
                <w:b/>
                <w:bCs/>
                <w:color w:val="000000"/>
                <w:kern w:val="0"/>
                <w:sz w:val="22"/>
              </w:rPr>
              <w:t>分值</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Calibri" w:hAnsi="Calibri"/>
                <w:b/>
                <w:bCs/>
                <w:color w:val="000000"/>
                <w:kern w:val="0"/>
                <w:sz w:val="22"/>
              </w:rPr>
            </w:pPr>
          </w:p>
          <w:p>
            <w:pPr>
              <w:widowControl/>
              <w:snapToGrid w:val="0"/>
              <w:spacing w:line="400" w:lineRule="exact"/>
              <w:rPr>
                <w:rFonts w:ascii="Calibri" w:hAnsi="Calibri"/>
                <w:b/>
                <w:bCs/>
                <w:color w:val="000000"/>
                <w:kern w:val="0"/>
                <w:sz w:val="22"/>
              </w:rPr>
            </w:pPr>
            <w:r>
              <w:rPr>
                <w:rFonts w:hint="eastAsia" w:ascii="Calibri" w:hAnsi="Calibri"/>
                <w:b/>
                <w:bCs/>
                <w:color w:val="000000"/>
                <w:kern w:val="0"/>
                <w:sz w:val="22"/>
              </w:rPr>
              <w:t>得分</w:t>
            </w:r>
          </w:p>
          <w:p>
            <w:pPr>
              <w:widowControl/>
              <w:spacing w:line="400" w:lineRule="exact"/>
              <w:rPr>
                <w:rFonts w:ascii="Calibri" w:hAnsi="Calibri"/>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w:t>
            </w:r>
          </w:p>
          <w:p>
            <w:pPr>
              <w:widowControl/>
              <w:spacing w:line="400" w:lineRule="exact"/>
              <w:jc w:val="center"/>
              <w:rPr>
                <w:rFonts w:ascii="仿宋" w:hAnsi="仿宋" w:eastAsia="仿宋" w:cs="仿宋"/>
                <w:color w:val="000000"/>
                <w:kern w:val="0"/>
                <w:sz w:val="24"/>
                <w:szCs w:val="24"/>
              </w:rPr>
            </w:pP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理念与设计</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课程理念</w:t>
            </w:r>
          </w:p>
          <w:p>
            <w:pPr>
              <w:widowControl/>
              <w:snapToGrid w:val="0"/>
              <w:spacing w:line="400" w:lineRule="exact"/>
              <w:jc w:val="center"/>
              <w:rPr>
                <w:rFonts w:ascii="仿宋" w:hAnsi="仿宋" w:eastAsia="仿宋" w:cs="仿宋"/>
                <w:bCs/>
                <w:color w:val="000000"/>
                <w:kern w:val="0"/>
                <w:sz w:val="24"/>
                <w:szCs w:val="24"/>
              </w:rPr>
            </w:pPr>
            <w:r>
              <w:rPr>
                <w:rFonts w:hint="eastAsia" w:ascii="仿宋" w:hAnsi="仿宋" w:eastAsia="仿宋" w:cs="仿宋"/>
                <w:b/>
                <w:color w:val="000000"/>
                <w:kern w:val="0"/>
                <w:sz w:val="24"/>
                <w:szCs w:val="24"/>
              </w:rPr>
              <w:t>4%</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1.在课程设计、内容呈现、学习资源开发、教学过程、教学评价等环节贯彻了信息技术与课程深度融合的理念。</w:t>
            </w:r>
          </w:p>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2.践行以学生发展为中心的课程教学理念，满足学生自主学习的需要。体现开放共享理念。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课程设计</w:t>
            </w:r>
          </w:p>
          <w:p>
            <w:pPr>
              <w:widowControl/>
              <w:snapToGrid w:val="0"/>
              <w:spacing w:line="400" w:lineRule="exact"/>
              <w:jc w:val="center"/>
              <w:rPr>
                <w:rFonts w:ascii="仿宋" w:hAnsi="仿宋" w:eastAsia="仿宋" w:cs="仿宋"/>
                <w:bCs/>
                <w:color w:val="000000"/>
                <w:kern w:val="0"/>
                <w:sz w:val="24"/>
                <w:szCs w:val="24"/>
              </w:rPr>
            </w:pPr>
            <w:r>
              <w:rPr>
                <w:rFonts w:hint="eastAsia" w:ascii="仿宋" w:hAnsi="仿宋" w:eastAsia="仿宋" w:cs="仿宋"/>
                <w:b/>
                <w:color w:val="000000"/>
                <w:kern w:val="0"/>
                <w:sz w:val="24"/>
                <w:szCs w:val="24"/>
              </w:rPr>
              <w:t>6%</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1.课程教学设计结合课程特点，全过程体现课程思政。</w:t>
            </w:r>
          </w:p>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2.教学资源一体化设计方案科学合理，有新意；各种教学媒体分工合理，互为补充，构成有机的整体，满足课程教学需要。</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二</w:t>
            </w:r>
          </w:p>
          <w:p>
            <w:pPr>
              <w:widowControl/>
              <w:jc w:val="center"/>
              <w:rPr>
                <w:rFonts w:ascii="仿宋" w:hAnsi="仿宋" w:eastAsia="仿宋" w:cs="仿宋"/>
                <w:color w:val="000000"/>
                <w:kern w:val="0"/>
                <w:sz w:val="24"/>
                <w:szCs w:val="24"/>
              </w:rPr>
            </w:pPr>
          </w:p>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教师团队</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课程团队</w:t>
            </w:r>
          </w:p>
          <w:p>
            <w:pPr>
              <w:widowControl/>
              <w:snapToGrid w:val="0"/>
              <w:spacing w:line="400" w:lineRule="exact"/>
              <w:jc w:val="center"/>
              <w:rPr>
                <w:rFonts w:ascii="仿宋" w:hAnsi="仿宋" w:eastAsia="仿宋" w:cs="仿宋"/>
                <w:bCs/>
                <w:color w:val="000000"/>
                <w:kern w:val="0"/>
                <w:sz w:val="24"/>
                <w:szCs w:val="24"/>
              </w:rPr>
            </w:pPr>
            <w:r>
              <w:rPr>
                <w:rFonts w:hint="eastAsia" w:ascii="仿宋" w:hAnsi="仿宋" w:eastAsia="仿宋" w:cs="仿宋"/>
                <w:b/>
                <w:color w:val="000000"/>
                <w:kern w:val="0"/>
                <w:sz w:val="24"/>
                <w:szCs w:val="24"/>
              </w:rPr>
              <w:t>5%</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1.团队有合理的知识结构和年龄结构。</w:t>
            </w:r>
          </w:p>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2.课程组教师在远程教育、职业教育教研成果等方面有研究，发表过质量较高的教改教研论文。</w:t>
            </w:r>
          </w:p>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3.教学团队吸纳学科名师及行业企业高技能人才。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11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w:t>
            </w:r>
          </w:p>
          <w:p>
            <w:pPr>
              <w:widowControl/>
              <w:spacing w:line="400" w:lineRule="exact"/>
              <w:jc w:val="center"/>
              <w:rPr>
                <w:rFonts w:ascii="仿宋" w:hAnsi="仿宋" w:eastAsia="仿宋" w:cs="仿宋"/>
                <w:color w:val="000000"/>
                <w:kern w:val="0"/>
                <w:sz w:val="24"/>
                <w:szCs w:val="24"/>
              </w:rPr>
            </w:pPr>
          </w:p>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内容与品质</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教学文件</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5%</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1.教学文件种类齐全，包括教师（团队）介绍、课程标准、“一体化”设计方案、考核方案等。</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2.教学文件的内容符合专业人才培养方案的层次规格，符合在线开放课程教学特征。</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1129" w:type="dxa"/>
            <w:vMerge w:val="continue"/>
            <w:tcBorders>
              <w:left w:val="single" w:color="auto" w:sz="4" w:space="0"/>
              <w:right w:val="single" w:color="auto" w:sz="4" w:space="0"/>
            </w:tcBorders>
            <w:vAlign w:val="center"/>
          </w:tcPr>
          <w:p>
            <w:pPr>
              <w:widowControl/>
              <w:jc w:val="left"/>
              <w:rPr>
                <w:rFonts w:ascii="仿宋" w:hAnsi="仿宋" w:eastAsia="仿宋" w:cs="仿宋"/>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教学内容</w:t>
            </w:r>
          </w:p>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
                <w:color w:val="000000"/>
                <w:kern w:val="0"/>
                <w:sz w:val="24"/>
                <w:szCs w:val="24"/>
              </w:rPr>
              <w:t>20%</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1.学习内容符合课程定位和目标要求，知识结构合理，完整覆盖课程目标所要求的知识点。</w:t>
            </w:r>
          </w:p>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2.教学内容新颖，信息量大。</w:t>
            </w:r>
          </w:p>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3.实践活动能很好地满足培养目标的要求，成效显著。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1129"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资源品质</w:t>
            </w:r>
          </w:p>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
                <w:color w:val="000000"/>
                <w:kern w:val="0"/>
                <w:sz w:val="24"/>
                <w:szCs w:val="24"/>
              </w:rPr>
              <w:t>15%</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1.教学视频设计精细、规范；课程内容把握精熟，表达流畅生动，普通话标准； 媒体素材选用适当,能有效阐释知识点。</w:t>
            </w:r>
          </w:p>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2.文本资源篇幅恰当、精炼，有导学性。</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1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四</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 </w:t>
            </w:r>
          </w:p>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支持服务</w:t>
            </w:r>
          </w:p>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20%</w:t>
            </w:r>
          </w:p>
          <w:p>
            <w:pPr>
              <w:widowControl/>
              <w:spacing w:line="400" w:lineRule="exact"/>
              <w:jc w:val="center"/>
              <w:rPr>
                <w:rFonts w:ascii="仿宋" w:hAnsi="仿宋" w:eastAsia="仿宋" w:cs="仿宋"/>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学习活动</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5%</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活动形式多样，有明确的学习活动目标。</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1129"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b/>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学习辅导</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10%</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1.根据课程需要组织实时教学辅导，积极引导学生参与实时教学辅导，营造了较好的实时讨论氛围。</w:t>
            </w:r>
          </w:p>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2.学习辅导及时、学生参与积极，有符合教学大纲的主题设计、辅导形式多样、辅导效果好。</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1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资源体验</w:t>
            </w:r>
            <w:r>
              <w:rPr>
                <w:rFonts w:hint="eastAsia" w:ascii="仿宋" w:hAnsi="仿宋" w:eastAsia="仿宋" w:cs="仿宋"/>
                <w:b/>
                <w:color w:val="000000"/>
                <w:kern w:val="0"/>
                <w:sz w:val="24"/>
                <w:szCs w:val="24"/>
              </w:rPr>
              <w:t>5%</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1.文档、视频、课件等资源链接地址正确，打开速度快，下载方便。</w:t>
            </w:r>
          </w:p>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2.学习资源访问方便，无须多次点击或登录。</w:t>
            </w:r>
          </w:p>
          <w:p>
            <w:pPr>
              <w:widowControl/>
              <w:snapToGrid w:val="0"/>
              <w:spacing w:line="400" w:lineRule="exact"/>
              <w:jc w:val="lef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3.视频播放流畅，操控功能齐全并且方便使用。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color w:val="000000"/>
                <w:kern w:val="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129" w:type="dxa"/>
            <w:vMerge w:val="restart"/>
            <w:tcBorders>
              <w:left w:val="single" w:color="auto" w:sz="4" w:space="0"/>
              <w:right w:val="single" w:color="auto" w:sz="4" w:space="0"/>
            </w:tcBorders>
            <w:vAlign w:val="center"/>
          </w:tcPr>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w:t>
            </w:r>
          </w:p>
          <w:p>
            <w:pPr>
              <w:widowControl/>
              <w:spacing w:line="400" w:lineRule="exact"/>
              <w:jc w:val="center"/>
              <w:rPr>
                <w:rFonts w:ascii="仿宋" w:hAnsi="仿宋" w:eastAsia="仿宋" w:cs="仿宋"/>
                <w:b/>
                <w:color w:val="000000"/>
                <w:kern w:val="0"/>
                <w:sz w:val="24"/>
                <w:szCs w:val="24"/>
              </w:rPr>
            </w:pPr>
          </w:p>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教学效果</w:t>
            </w:r>
          </w:p>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20%</w:t>
            </w:r>
          </w:p>
          <w:p>
            <w:pPr>
              <w:widowControl/>
              <w:spacing w:line="400" w:lineRule="exact"/>
              <w:jc w:val="center"/>
              <w:rPr>
                <w:rFonts w:ascii="仿宋" w:hAnsi="仿宋" w:eastAsia="仿宋" w:cs="仿宋"/>
                <w:b/>
                <w:color w:val="000000"/>
                <w:kern w:val="0"/>
                <w:sz w:val="24"/>
                <w:szCs w:val="24"/>
              </w:rPr>
            </w:pPr>
          </w:p>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教学评价</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5%</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自我评价、同行评价好，资源共享度高。</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29"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b/>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作业与考核</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5%</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考核形式科学。重视教学过程的有效考核，兼顾学习内容和学习行为两个方面的检测，采用多种测评方法和手段进行考核。</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129"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b/>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学习行为</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10%</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sz w:val="24"/>
                <w:szCs w:val="24"/>
              </w:rPr>
              <w:t>1</w:t>
            </w:r>
            <w:r>
              <w:rPr>
                <w:rFonts w:hint="eastAsia" w:ascii="仿宋" w:hAnsi="仿宋" w:eastAsia="仿宋" w:cs="仿宋"/>
                <w:color w:val="000000"/>
                <w:kern w:val="0"/>
                <w:sz w:val="24"/>
                <w:szCs w:val="24"/>
              </w:rPr>
              <w:t>.尝鲜率在50%以下。</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2.参与课程资源学习的学生与课程注册学生的比例达到70%以上。</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3.资源点击率高，学生学习积极性高。</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129" w:type="dxa"/>
            <w:tcBorders>
              <w:left w:val="single" w:color="auto" w:sz="4" w:space="0"/>
              <w:right w:val="single" w:color="auto" w:sz="4" w:space="0"/>
            </w:tcBorders>
            <w:vAlign w:val="center"/>
          </w:tcPr>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w:t>
            </w:r>
          </w:p>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课程特色5%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课程特色</w:t>
            </w:r>
          </w:p>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rPr>
              <w:t>5%</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课程在培养目标的定位、教学内容的选取、资源开发、技术手段应用、教学活动组织、在线学习支持服务等一个或几个方面特色明显，效果显著。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8359" w:type="dxa"/>
            <w:gridSpan w:val="3"/>
            <w:tcBorders>
              <w:left w:val="single" w:color="auto" w:sz="4" w:space="0"/>
              <w:right w:val="single" w:color="auto" w:sz="4" w:space="0"/>
            </w:tcBorders>
            <w:vAlign w:val="center"/>
          </w:tcPr>
          <w:p>
            <w:pPr>
              <w:widowControl/>
              <w:spacing w:line="400" w:lineRule="exac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合计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17" w:firstLineChars="49"/>
              <w:jc w:val="center"/>
              <w:rPr>
                <w:rFonts w:ascii="仿宋" w:hAnsi="仿宋" w:eastAsia="仿宋" w:cs="仿宋"/>
                <w:bCs/>
                <w:color w:val="000000"/>
                <w:kern w:val="0"/>
                <w:sz w:val="24"/>
                <w:szCs w:val="24"/>
              </w:rPr>
            </w:pPr>
          </w:p>
        </w:tc>
      </w:tr>
    </w:tbl>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DRhMGVmNTljYmVlMjY4OTI2Y2NiNDA4YmFhNGYifQ=="/>
  </w:docVars>
  <w:rsids>
    <w:rsidRoot w:val="5BF968AC"/>
    <w:rsid w:val="22F15352"/>
    <w:rsid w:val="5BF9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文本缩进 21"/>
    <w:basedOn w:val="1"/>
    <w:next w:val="3"/>
    <w:qFormat/>
    <w:uiPriority w:val="0"/>
    <w:pPr>
      <w:spacing w:after="120" w:line="480" w:lineRule="auto"/>
      <w:ind w:left="420" w:leftChars="200"/>
    </w:pPr>
  </w:style>
  <w:style w:type="paragraph" w:styleId="3">
    <w:name w:val="Body Text"/>
    <w:basedOn w:val="1"/>
    <w:qFormat/>
    <w:uiPriority w:val="1"/>
    <w:rPr>
      <w:szCs w:val="32"/>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2963</Words>
  <Characters>3119</Characters>
  <Lines>0</Lines>
  <Paragraphs>0</Paragraphs>
  <TotalTime>0</TotalTime>
  <ScaleCrop>false</ScaleCrop>
  <LinksUpToDate>false</LinksUpToDate>
  <CharactersWithSpaces>3132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2022-12-06T08:11:00Z</dcterms:created>
  <dc:creator>╮(╯▽╰)╭</dc:creator>
  <cp:lastModifiedBy>╮(╯▽╰)╭</cp:lastModifiedBy>
  <dcterms:modified xsi:type="dcterms:W3CDTF">2022-12-06T08:12:19Z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408310BF190941A1A03F7C985DF3DF30</vt:lpwstr>
  </property>
</Properties>
</file>