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35" w:rsidRDefault="006F3A35" w:rsidP="006F3A35">
      <w:pPr>
        <w:spacing w:line="580" w:lineRule="exact"/>
        <w:rPr>
          <w:rFonts w:ascii="黑体" w:eastAsia="黑体" w:hAnsi="黑体" w:cs="黑体"/>
          <w:spacing w:val="-6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6"/>
          <w:sz w:val="32"/>
          <w:szCs w:val="32"/>
          <w:lang w:eastAsia="zh-CN"/>
        </w:rPr>
        <w:t>附件2</w:t>
      </w:r>
    </w:p>
    <w:p w:rsidR="006F3A35" w:rsidRDefault="006F3A35" w:rsidP="006F3A35">
      <w:pPr>
        <w:spacing w:line="580" w:lineRule="exact"/>
        <w:rPr>
          <w:rFonts w:ascii="华文中宋" w:eastAsia="华文中宋" w:hAnsi="华文中宋" w:cs="仿宋_GB2312"/>
          <w:spacing w:val="-6"/>
          <w:sz w:val="36"/>
          <w:szCs w:val="36"/>
          <w:lang w:eastAsia="zh-CN"/>
        </w:rPr>
      </w:pPr>
    </w:p>
    <w:p w:rsidR="006F3A35" w:rsidRPr="006B6B59" w:rsidRDefault="006F3A35" w:rsidP="006F3A35">
      <w:pPr>
        <w:spacing w:line="580" w:lineRule="exact"/>
        <w:jc w:val="center"/>
        <w:rPr>
          <w:rFonts w:ascii="仿宋" w:eastAsia="仿宋" w:hAnsi="仿宋" w:cs="仿宋_GB2312"/>
          <w:spacing w:val="-6"/>
          <w:sz w:val="32"/>
          <w:szCs w:val="32"/>
          <w:lang w:eastAsia="zh-CN"/>
        </w:rPr>
      </w:pPr>
      <w:r w:rsidRPr="006B6B59">
        <w:rPr>
          <w:rFonts w:ascii="仿宋" w:eastAsia="仿宋" w:hAnsi="仿宋" w:cs="仿宋_GB2312"/>
          <w:spacing w:val="-6"/>
          <w:sz w:val="32"/>
          <w:szCs w:val="32"/>
          <w:lang w:eastAsia="zh-CN"/>
        </w:rPr>
        <w:t>202</w:t>
      </w:r>
      <w:r w:rsidRPr="006B6B59">
        <w:rPr>
          <w:rFonts w:ascii="仿宋" w:eastAsia="仿宋" w:hAnsi="仿宋" w:cs="仿宋_GB2312" w:hint="eastAsia"/>
          <w:spacing w:val="-6"/>
          <w:sz w:val="32"/>
          <w:szCs w:val="32"/>
          <w:lang w:eastAsia="zh-CN"/>
        </w:rPr>
        <w:t>3</w:t>
      </w:r>
      <w:r w:rsidRPr="006B6B59">
        <w:rPr>
          <w:rFonts w:ascii="仿宋" w:eastAsia="仿宋" w:hAnsi="仿宋" w:cs="仿宋_GB2312"/>
          <w:spacing w:val="-6"/>
          <w:sz w:val="32"/>
          <w:szCs w:val="32"/>
          <w:lang w:eastAsia="zh-CN"/>
        </w:rPr>
        <w:t>年度湖南省社科基金教育学专项课题申报指南</w:t>
      </w:r>
    </w:p>
    <w:p w:rsidR="006F3A35" w:rsidRPr="006B6B59" w:rsidRDefault="006F3A35" w:rsidP="006F3A35">
      <w:pPr>
        <w:pStyle w:val="Bodytext10"/>
        <w:tabs>
          <w:tab w:val="left" w:pos="1518"/>
        </w:tabs>
        <w:spacing w:line="580" w:lineRule="exact"/>
        <w:ind w:left="260" w:firstLine="66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1.大中小学思想政治教育一体化建设研究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2.新时代素质教育发展研究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3“三高四新”背景下湖南教育科技人才统筹部署战略研究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4.教育、科技与人才强国战略三位一体推进策略研究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5.科教融汇的新特点、新使命、新机制研究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6.区域内统筹职业教育、高等教育、继续教育协同创新研究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7.教育高质量发展体系的财政投入机制研究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8.加快建设高质量教育体系的法治保障研究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9.教育评价改革助推中国式教育现代化的理论与实践研究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10.加强师德师风建设与职前教师师德养成体系构建研究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11.教育、科技与人才一体统筹下乡村教育发展理论逻辑与实践路径研究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12.基于优质均衡的义务教育城乡一体化研究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13.基于多方联动的幼小科学衔接研究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14.职普融通协调发展的理论基础、关键路径与政策供给研究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>
        <w:rPr>
          <w:rFonts w:ascii="仿宋" w:eastAsia="仿宋" w:hAnsi="仿宋" w:cs="仿宋_GB2312" w:hint="eastAsia"/>
          <w:sz w:val="32"/>
          <w:szCs w:val="32"/>
          <w:lang w:val="en-US" w:eastAsia="zh-CN"/>
        </w:rPr>
        <w:lastRenderedPageBreak/>
        <w:t>15.</w:t>
      </w: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高等教育普及化背景下可持续化发展研究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16.企业主导的产学研深度融合中研究生培养创新研究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17.人才强国战略下家校社协同育人实践体系建构研究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18.教育舆情线上线下互动规律与治理策略研究</w:t>
      </w:r>
    </w:p>
    <w:p w:rsidR="006F3A35" w:rsidRDefault="006F3A35" w:rsidP="006F3A35">
      <w:pPr>
        <w:pStyle w:val="Bodytext10"/>
        <w:tabs>
          <w:tab w:val="left" w:pos="1518"/>
        </w:tabs>
        <w:spacing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lang w:val="en-US" w:eastAsia="zh-CN"/>
        </w:rPr>
      </w:pPr>
      <w:r w:rsidRPr="006B6B59">
        <w:rPr>
          <w:rFonts w:ascii="仿宋" w:eastAsia="仿宋" w:hAnsi="仿宋" w:cs="仿宋_GB2312" w:hint="eastAsia"/>
          <w:sz w:val="32"/>
          <w:szCs w:val="32"/>
          <w:lang w:val="en-US" w:eastAsia="zh-CN"/>
        </w:rPr>
        <w:t>19.教育数字化推进研究</w:t>
      </w:r>
    </w:p>
    <w:p w:rsidR="0000193D" w:rsidRDefault="006F3A35" w:rsidP="006F3A35">
      <w:r w:rsidRPr="006B6B59">
        <w:rPr>
          <w:rFonts w:ascii="仿宋" w:eastAsia="仿宋" w:hAnsi="仿宋" w:cs="仿宋_GB2312" w:hint="eastAsia"/>
          <w:sz w:val="32"/>
          <w:szCs w:val="32"/>
          <w:lang w:eastAsia="zh-CN"/>
        </w:rPr>
        <w:t>20.新建师范院校发展政策支持体系研究</w:t>
      </w:r>
    </w:p>
    <w:sectPr w:rsidR="0000193D" w:rsidSect="0000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A35"/>
    <w:rsid w:val="0000193D"/>
    <w:rsid w:val="00006936"/>
    <w:rsid w:val="00104AE4"/>
    <w:rsid w:val="003C4692"/>
    <w:rsid w:val="00403D5E"/>
    <w:rsid w:val="006F3A35"/>
    <w:rsid w:val="0080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3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6F3A3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F3A35"/>
    <w:pPr>
      <w:spacing w:line="374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2022-12-01T07:20:00Z</dcterms:created>
  <dcterms:modified xsi:type="dcterms:W3CDTF">2022-12-01T07:20:00Z</dcterms:modified>
</cp:coreProperties>
</file>