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黑体" w:hAnsi="黑体" w:eastAsia="黑体" w:cs="黑体"/>
          <w:sz w:val="32"/>
          <w:szCs w:val="32"/>
          <w:lang w:eastAsia="zh-CN"/>
        </w:rPr>
      </w:pPr>
      <w:r>
        <w:rPr>
          <w:rFonts w:hint="eastAsia" w:ascii="黑体" w:hAnsi="黑体" w:eastAsia="黑体" w:cs="黑体"/>
          <w:sz w:val="32"/>
          <w:szCs w:val="32"/>
          <w:lang w:eastAsia="zh-CN"/>
        </w:rPr>
        <w:t>附件2</w:t>
      </w:r>
    </w:p>
    <w:p>
      <w:pPr>
        <w:numPr>
          <w:ilvl w:val="0"/>
          <w:numId w:val="0"/>
        </w:numPr>
        <w:rPr>
          <w:rFonts w:hint="eastAsia" w:ascii="黑体" w:hAnsi="黑体" w:eastAsia="黑体" w:cs="黑体"/>
          <w:sz w:val="32"/>
          <w:szCs w:val="32"/>
          <w:lang w:eastAsia="zh-CN"/>
        </w:rPr>
      </w:pPr>
    </w:p>
    <w:p>
      <w:pPr>
        <w:numPr>
          <w:ilvl w:val="0"/>
          <w:numId w:val="0"/>
        </w:num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val="en-US" w:eastAsia="zh-CN"/>
        </w:rPr>
        <w:t>湖南</w:t>
      </w:r>
      <w:r>
        <w:rPr>
          <w:rFonts w:hint="eastAsia" w:ascii="方正小标宋简体" w:hAnsi="方正小标宋简体" w:eastAsia="方正小标宋简体" w:cs="方正小标宋简体"/>
          <w:sz w:val="32"/>
          <w:szCs w:val="32"/>
          <w:lang w:eastAsia="zh-CN"/>
        </w:rPr>
        <w:t>开放大学农医类专业课程思政教学技能大赛</w:t>
      </w:r>
    </w:p>
    <w:p>
      <w:pPr>
        <w:numPr>
          <w:ilvl w:val="0"/>
          <w:numId w:val="0"/>
        </w:num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教学设计方案评分标准</w:t>
      </w:r>
    </w:p>
    <w:p>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lang w:eastAsia="zh-CN"/>
        </w:rPr>
        <w:t>教学主题:</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主讲教师: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855"/>
        <w:gridCol w:w="4290"/>
        <w:gridCol w:w="127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评价指标</w:t>
            </w:r>
          </w:p>
        </w:tc>
        <w:tc>
          <w:tcPr>
            <w:tcW w:w="855"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4290"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评分内容</w:t>
            </w:r>
          </w:p>
        </w:tc>
        <w:tc>
          <w:tcPr>
            <w:tcW w:w="1275"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1178"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restart"/>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教学目标</w:t>
            </w:r>
          </w:p>
        </w:tc>
        <w:tc>
          <w:tcPr>
            <w:tcW w:w="855" w:type="dxa"/>
            <w:vMerge w:val="restart"/>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15</w:t>
            </w:r>
          </w:p>
        </w:tc>
        <w:tc>
          <w:tcPr>
            <w:tcW w:w="4290"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教学目标设计充分，与“课程思政”的育人目标相吻合</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78"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vAlign w:val="center"/>
          </w:tcPr>
          <w:p>
            <w:pPr>
              <w:numPr>
                <w:ilvl w:val="0"/>
                <w:numId w:val="0"/>
              </w:numPr>
              <w:jc w:val="center"/>
              <w:rPr>
                <w:rFonts w:hint="eastAsia" w:ascii="仿宋" w:hAnsi="仿宋" w:eastAsia="仿宋" w:cs="仿宋"/>
                <w:b/>
                <w:bCs/>
                <w:sz w:val="24"/>
                <w:szCs w:val="24"/>
                <w:vertAlign w:val="baseline"/>
                <w:lang w:val="en-US" w:eastAsia="zh-CN"/>
              </w:rPr>
            </w:pPr>
          </w:p>
        </w:tc>
        <w:tc>
          <w:tcPr>
            <w:tcW w:w="855" w:type="dxa"/>
            <w:vMerge w:val="continue"/>
            <w:vAlign w:val="center"/>
          </w:tcPr>
          <w:p>
            <w:pPr>
              <w:numPr>
                <w:ilvl w:val="0"/>
                <w:numId w:val="0"/>
              </w:numPr>
              <w:jc w:val="center"/>
              <w:rPr>
                <w:rFonts w:hint="default" w:ascii="Times New Roman" w:hAnsi="Times New Roman" w:eastAsia="仿宋" w:cs="Times New Roman"/>
                <w:sz w:val="24"/>
                <w:szCs w:val="24"/>
                <w:vertAlign w:val="baseline"/>
                <w:lang w:eastAsia="zh-CN"/>
              </w:rPr>
            </w:pPr>
          </w:p>
        </w:tc>
        <w:tc>
          <w:tcPr>
            <w:tcW w:w="4290"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教学目标设计科学，符合开放大学学生认知规律和教学实际</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5</w:t>
            </w:r>
          </w:p>
        </w:tc>
        <w:tc>
          <w:tcPr>
            <w:tcW w:w="1178"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restart"/>
            <w:vAlign w:val="center"/>
          </w:tcPr>
          <w:p>
            <w:pPr>
              <w:numPr>
                <w:ilvl w:val="0"/>
                <w:numId w:val="0"/>
              </w:num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val="en-US" w:eastAsia="zh-CN"/>
              </w:rPr>
              <w:t>教学内容</w:t>
            </w:r>
          </w:p>
        </w:tc>
        <w:tc>
          <w:tcPr>
            <w:tcW w:w="855" w:type="dxa"/>
            <w:vMerge w:val="restart"/>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50</w:t>
            </w:r>
          </w:p>
        </w:tc>
        <w:tc>
          <w:tcPr>
            <w:tcW w:w="4290"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教学内容充实精要，深浅适度，容量合适，重点清晰，知识阐述正确</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78"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vAlign w:val="center"/>
          </w:tcPr>
          <w:p>
            <w:pPr>
              <w:numPr>
                <w:ilvl w:val="0"/>
                <w:numId w:val="0"/>
              </w:numPr>
              <w:jc w:val="center"/>
              <w:rPr>
                <w:rFonts w:hint="eastAsia" w:ascii="仿宋" w:hAnsi="仿宋" w:eastAsia="仿宋" w:cs="仿宋"/>
                <w:b/>
                <w:bCs/>
                <w:sz w:val="24"/>
                <w:szCs w:val="24"/>
                <w:vertAlign w:val="baseline"/>
                <w:lang w:eastAsia="zh-CN"/>
              </w:rPr>
            </w:pPr>
          </w:p>
        </w:tc>
        <w:tc>
          <w:tcPr>
            <w:tcW w:w="855" w:type="dxa"/>
            <w:vMerge w:val="continue"/>
            <w:vAlign w:val="center"/>
          </w:tcPr>
          <w:p>
            <w:pPr>
              <w:numPr>
                <w:ilvl w:val="0"/>
                <w:numId w:val="0"/>
              </w:numPr>
              <w:jc w:val="center"/>
              <w:rPr>
                <w:rFonts w:hint="default" w:ascii="Times New Roman" w:hAnsi="Times New Roman" w:eastAsia="仿宋" w:cs="Times New Roman"/>
                <w:sz w:val="24"/>
                <w:szCs w:val="24"/>
                <w:vertAlign w:val="baseline"/>
                <w:lang w:eastAsia="zh-CN"/>
              </w:rPr>
            </w:pPr>
          </w:p>
        </w:tc>
        <w:tc>
          <w:tcPr>
            <w:tcW w:w="4290"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精心设计教学内容各个环节，善于提炼专业课程中蕴含的思政育人因素</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78"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vAlign w:val="center"/>
          </w:tcPr>
          <w:p>
            <w:pPr>
              <w:numPr>
                <w:ilvl w:val="0"/>
                <w:numId w:val="0"/>
              </w:numPr>
              <w:jc w:val="center"/>
              <w:rPr>
                <w:rFonts w:hint="eastAsia" w:ascii="仿宋" w:hAnsi="仿宋" w:eastAsia="仿宋" w:cs="仿宋"/>
                <w:b/>
                <w:bCs/>
                <w:sz w:val="24"/>
                <w:szCs w:val="24"/>
                <w:vertAlign w:val="baseline"/>
                <w:lang w:eastAsia="zh-CN"/>
              </w:rPr>
            </w:pPr>
          </w:p>
        </w:tc>
        <w:tc>
          <w:tcPr>
            <w:tcW w:w="855" w:type="dxa"/>
            <w:vMerge w:val="continue"/>
            <w:vAlign w:val="center"/>
          </w:tcPr>
          <w:p>
            <w:pPr>
              <w:numPr>
                <w:ilvl w:val="0"/>
                <w:numId w:val="0"/>
              </w:numPr>
              <w:jc w:val="center"/>
              <w:rPr>
                <w:rFonts w:hint="default" w:ascii="Times New Roman" w:hAnsi="Times New Roman" w:eastAsia="仿宋" w:cs="Times New Roman"/>
                <w:sz w:val="24"/>
                <w:szCs w:val="24"/>
                <w:vertAlign w:val="baseline"/>
                <w:lang w:eastAsia="zh-CN"/>
              </w:rPr>
            </w:pPr>
          </w:p>
        </w:tc>
        <w:tc>
          <w:tcPr>
            <w:tcW w:w="4290"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能将思政元素和专业知识有机融合，内容设计呈现恰当，教学活动设计合理</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78"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vAlign w:val="center"/>
          </w:tcPr>
          <w:p>
            <w:pPr>
              <w:numPr>
                <w:ilvl w:val="0"/>
                <w:numId w:val="0"/>
              </w:numPr>
              <w:jc w:val="center"/>
              <w:rPr>
                <w:rFonts w:hint="eastAsia" w:ascii="仿宋" w:hAnsi="仿宋" w:eastAsia="仿宋" w:cs="仿宋"/>
                <w:b/>
                <w:bCs/>
                <w:sz w:val="24"/>
                <w:szCs w:val="24"/>
                <w:vertAlign w:val="baseline"/>
                <w:lang w:eastAsia="zh-CN"/>
              </w:rPr>
            </w:pPr>
          </w:p>
        </w:tc>
        <w:tc>
          <w:tcPr>
            <w:tcW w:w="855" w:type="dxa"/>
            <w:vMerge w:val="continue"/>
            <w:vAlign w:val="center"/>
          </w:tcPr>
          <w:p>
            <w:pPr>
              <w:numPr>
                <w:ilvl w:val="0"/>
                <w:numId w:val="0"/>
              </w:numPr>
              <w:jc w:val="center"/>
              <w:rPr>
                <w:rFonts w:hint="default" w:ascii="Times New Roman" w:hAnsi="Times New Roman" w:eastAsia="仿宋" w:cs="Times New Roman"/>
                <w:sz w:val="24"/>
                <w:szCs w:val="24"/>
                <w:vertAlign w:val="baseline"/>
                <w:lang w:eastAsia="zh-CN"/>
              </w:rPr>
            </w:pPr>
          </w:p>
        </w:tc>
        <w:tc>
          <w:tcPr>
            <w:tcW w:w="4290"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教学内容设计能够整合运用现代信息技术手段和各种媒体资源把思政教育有机融合到教学全过程</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78"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vAlign w:val="center"/>
          </w:tcPr>
          <w:p>
            <w:pPr>
              <w:numPr>
                <w:ilvl w:val="0"/>
                <w:numId w:val="0"/>
              </w:numPr>
              <w:jc w:val="center"/>
              <w:rPr>
                <w:rFonts w:hint="eastAsia" w:ascii="仿宋" w:hAnsi="仿宋" w:eastAsia="仿宋" w:cs="仿宋"/>
                <w:b/>
                <w:bCs/>
                <w:sz w:val="24"/>
                <w:szCs w:val="24"/>
                <w:vertAlign w:val="baseline"/>
                <w:lang w:eastAsia="zh-CN"/>
              </w:rPr>
            </w:pPr>
          </w:p>
        </w:tc>
        <w:tc>
          <w:tcPr>
            <w:tcW w:w="855" w:type="dxa"/>
            <w:vMerge w:val="continue"/>
            <w:vAlign w:val="center"/>
          </w:tcPr>
          <w:p>
            <w:pPr>
              <w:numPr>
                <w:ilvl w:val="0"/>
                <w:numId w:val="0"/>
              </w:numPr>
              <w:jc w:val="center"/>
              <w:rPr>
                <w:rFonts w:hint="default" w:ascii="Times New Roman" w:hAnsi="Times New Roman" w:eastAsia="仿宋" w:cs="Times New Roman"/>
                <w:sz w:val="24"/>
                <w:szCs w:val="24"/>
                <w:vertAlign w:val="baseline"/>
                <w:lang w:eastAsia="zh-CN"/>
              </w:rPr>
            </w:pPr>
          </w:p>
        </w:tc>
        <w:tc>
          <w:tcPr>
            <w:tcW w:w="4290"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教学内容和教学过程设计注重教学互动性，体现“课程思政”育人要求与“以学生为中心”的理念</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78"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restart"/>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教学过程与方法</w:t>
            </w:r>
          </w:p>
        </w:tc>
        <w:tc>
          <w:tcPr>
            <w:tcW w:w="855" w:type="dxa"/>
            <w:vMerge w:val="restart"/>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25</w:t>
            </w:r>
          </w:p>
        </w:tc>
        <w:tc>
          <w:tcPr>
            <w:tcW w:w="4290"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教学方法设计运用恰当，教学策略设计合理，能有效达到思政育人目标</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15</w:t>
            </w:r>
          </w:p>
        </w:tc>
        <w:tc>
          <w:tcPr>
            <w:tcW w:w="1178"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vAlign w:val="center"/>
          </w:tcPr>
          <w:p>
            <w:pPr>
              <w:numPr>
                <w:ilvl w:val="0"/>
                <w:numId w:val="0"/>
              </w:numPr>
              <w:jc w:val="center"/>
              <w:rPr>
                <w:rFonts w:hint="eastAsia" w:ascii="仿宋" w:hAnsi="仿宋" w:eastAsia="仿宋" w:cs="仿宋"/>
                <w:b/>
                <w:bCs/>
                <w:sz w:val="24"/>
                <w:szCs w:val="24"/>
                <w:vertAlign w:val="baseline"/>
                <w:lang w:eastAsia="zh-CN"/>
              </w:rPr>
            </w:pPr>
          </w:p>
        </w:tc>
        <w:tc>
          <w:tcPr>
            <w:tcW w:w="855" w:type="dxa"/>
            <w:vMerge w:val="continue"/>
            <w:vAlign w:val="center"/>
          </w:tcPr>
          <w:p>
            <w:pPr>
              <w:numPr>
                <w:ilvl w:val="0"/>
                <w:numId w:val="0"/>
              </w:numPr>
              <w:jc w:val="center"/>
              <w:rPr>
                <w:rFonts w:hint="default" w:ascii="Times New Roman" w:hAnsi="Times New Roman" w:eastAsia="仿宋" w:cs="Times New Roman"/>
                <w:sz w:val="24"/>
                <w:szCs w:val="24"/>
                <w:vertAlign w:val="baseline"/>
                <w:lang w:eastAsia="zh-CN"/>
              </w:rPr>
            </w:pPr>
          </w:p>
        </w:tc>
        <w:tc>
          <w:tcPr>
            <w:tcW w:w="4290"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采用多样化教学方法与教学策略，教学手段更加丰富，能吸引学生，课程考核涵盖对思政目标的考察</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78" w:type="dxa"/>
            <w:vAlign w:val="center"/>
          </w:tcPr>
          <w:p>
            <w:pPr>
              <w:numPr>
                <w:ilvl w:val="0"/>
                <w:numId w:val="0"/>
              </w:numPr>
              <w:jc w:val="cente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教学创新与特色</w:t>
            </w:r>
          </w:p>
        </w:tc>
        <w:tc>
          <w:tcPr>
            <w:tcW w:w="85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4290" w:type="dxa"/>
            <w:vAlign w:val="center"/>
          </w:tcPr>
          <w:p>
            <w:pPr>
              <w:numPr>
                <w:ilvl w:val="0"/>
                <w:numId w:val="0"/>
              </w:num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教学设计能结合课程特色挖掘思政育人因素，在某些环节有所创新，特色鲜明，具有较强的示范性和推广性</w:t>
            </w:r>
          </w:p>
        </w:tc>
        <w:tc>
          <w:tcPr>
            <w:tcW w:w="1275" w:type="dxa"/>
            <w:vAlign w:val="center"/>
          </w:tcPr>
          <w:p>
            <w:pPr>
              <w:numPr>
                <w:ilvl w:val="0"/>
                <w:numId w:val="0"/>
              </w:num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10</w:t>
            </w:r>
          </w:p>
        </w:tc>
        <w:tc>
          <w:tcPr>
            <w:tcW w:w="1178" w:type="dxa"/>
            <w:vAlign w:val="center"/>
          </w:tcPr>
          <w:p>
            <w:pPr>
              <w:numPr>
                <w:ilvl w:val="0"/>
                <w:numId w:val="0"/>
              </w:numPr>
              <w:jc w:val="center"/>
              <w:rPr>
                <w:rFonts w:hint="eastAsia" w:ascii="仿宋" w:hAnsi="仿宋" w:eastAsia="仿宋" w:cs="仿宋"/>
                <w:sz w:val="24"/>
                <w:szCs w:val="24"/>
                <w:vertAlign w:val="baseline"/>
                <w:lang w:eastAsia="zh-CN"/>
              </w:rPr>
            </w:pPr>
          </w:p>
        </w:tc>
      </w:tr>
    </w:tbl>
    <w:p>
      <w:pPr>
        <w:numPr>
          <w:ilvl w:val="0"/>
          <w:numId w:val="0"/>
        </w:numPr>
        <w:rPr>
          <w:rFonts w:hint="eastAsia" w:ascii="黑体" w:hAnsi="黑体" w:eastAsia="黑体" w:cs="黑体"/>
          <w:sz w:val="32"/>
          <w:szCs w:val="32"/>
          <w:lang w:eastAsia="zh-CN"/>
        </w:rPr>
      </w:pPr>
      <w:bookmarkStart w:id="0" w:name="_GoBack"/>
      <w:bookmarkEnd w:id="0"/>
    </w:p>
    <w:p>
      <w:pPr>
        <w:numPr>
          <w:ilvl w:val="0"/>
          <w:numId w:val="0"/>
        </w:numPr>
        <w:rPr>
          <w:rFonts w:hint="eastAsia" w:ascii="黑体" w:hAnsi="黑体" w:eastAsia="黑体" w:cs="黑体"/>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DRhMGVmNTljYmVlMjY4OTI2Y2NiNDA4YmFhNGYifQ=="/>
  </w:docVars>
  <w:rsids>
    <w:rsidRoot w:val="00000000"/>
    <w:rsid w:val="17397720"/>
    <w:rsid w:val="227B299A"/>
    <w:rsid w:val="34FF49D9"/>
    <w:rsid w:val="6760172C"/>
    <w:rsid w:val="7A013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432</Characters>
  <Lines>0</Lines>
  <Paragraphs>0</Paragraphs>
  <TotalTime>0</TotalTime>
  <ScaleCrop>false</ScaleCrop>
  <LinksUpToDate>false</LinksUpToDate>
  <CharactersWithSpaces>468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2022-07-07T07:53:28Z</dcterms:created>
  <dc:creator>lenovo</dc:creator>
  <cp:lastModifiedBy>╮(╯▽╰)╭</cp:lastModifiedBy>
  <dcterms:modified xsi:type="dcterms:W3CDTF">2022-07-07T07:57:43Z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FB923A2363A545929241565313E67914</vt:lpwstr>
  </property>
</Properties>
</file>