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adjustRightInd w:val="0"/>
        <w:snapToGrid w:val="0"/>
        <w:spacing w:line="300" w:lineRule="auto"/>
        <w:jc w:val="center"/>
        <w:rPr>
          <w:rFonts w:ascii="方正小标宋简体" w:hAnsi="仿宋_GB2312" w:eastAsia="方正小标宋简体" w:cs="仿宋_GB2312"/>
          <w:sz w:val="32"/>
          <w:szCs w:val="32"/>
        </w:rPr>
      </w:pPr>
    </w:p>
    <w:p>
      <w:pPr>
        <w:adjustRightInd w:val="0"/>
        <w:snapToGrid w:val="0"/>
        <w:spacing w:line="300" w:lineRule="auto"/>
        <w:jc w:val="center"/>
        <w:rPr>
          <w:rFonts w:ascii="方正小标宋简体" w:hAnsi="仿宋_GB2312" w:eastAsia="方正小标宋简体" w:cs="仿宋_GB2312"/>
          <w:sz w:val="32"/>
          <w:szCs w:val="32"/>
        </w:rPr>
      </w:pPr>
      <w:bookmarkStart w:id="0" w:name="_GoBack"/>
      <w:r>
        <w:rPr>
          <w:rFonts w:hint="eastAsia" w:ascii="方正小标宋简体" w:hAnsi="仿宋_GB2312" w:eastAsia="方正小标宋简体" w:cs="仿宋_GB2312"/>
          <w:sz w:val="32"/>
          <w:szCs w:val="32"/>
        </w:rPr>
        <w:t>湖南开放大学校级重点课题选题推荐表</w:t>
      </w:r>
    </w:p>
    <w:bookmarkEnd w:id="0"/>
    <w:p>
      <w:pPr>
        <w:adjustRightInd w:val="0"/>
        <w:snapToGrid w:val="0"/>
        <w:spacing w:line="300" w:lineRule="auto"/>
        <w:rPr>
          <w:rFonts w:ascii="仿宋_GB2312" w:hAnsi="仿宋_GB2312" w:eastAsia="仿宋_GB2312" w:cs="仿宋_GB2312"/>
          <w:sz w:val="28"/>
          <w:szCs w:val="28"/>
        </w:rPr>
      </w:pPr>
    </w:p>
    <w:p>
      <w:pPr>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推荐单位（部门）盖章：</w:t>
      </w:r>
    </w:p>
    <w:tbl>
      <w:tblPr>
        <w:tblStyle w:val="5"/>
        <w:tblW w:w="8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31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5" w:type="dxa"/>
            <w:vAlign w:val="center"/>
          </w:tcPr>
          <w:p>
            <w:pPr>
              <w:adjustRightInd w:val="0"/>
              <w:snapToGrid w:val="0"/>
              <w:spacing w:line="30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5310" w:type="dxa"/>
            <w:vAlign w:val="center"/>
          </w:tcPr>
          <w:p>
            <w:pPr>
              <w:adjustRightInd w:val="0"/>
              <w:snapToGrid w:val="0"/>
              <w:spacing w:line="30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推荐重点课题名称</w:t>
            </w:r>
          </w:p>
        </w:tc>
        <w:tc>
          <w:tcPr>
            <w:tcW w:w="1650" w:type="dxa"/>
            <w:vAlign w:val="center"/>
          </w:tcPr>
          <w:p>
            <w:pPr>
              <w:adjustRightInd w:val="0"/>
              <w:snapToGrid w:val="0"/>
              <w:spacing w:line="30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75" w:type="dxa"/>
            <w:vAlign w:val="center"/>
          </w:tcPr>
          <w:p>
            <w:pPr>
              <w:adjustRightInd w:val="0"/>
              <w:snapToGrid w:val="0"/>
              <w:spacing w:line="30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p>
        </w:tc>
        <w:tc>
          <w:tcPr>
            <w:tcW w:w="5310" w:type="dxa"/>
            <w:vAlign w:val="center"/>
          </w:tcPr>
          <w:p>
            <w:pPr>
              <w:adjustRightInd w:val="0"/>
              <w:snapToGrid w:val="0"/>
              <w:spacing w:line="300" w:lineRule="auto"/>
              <w:jc w:val="center"/>
              <w:rPr>
                <w:rFonts w:ascii="仿宋_GB2312" w:hAnsi="仿宋_GB2312" w:eastAsia="仿宋_GB2312" w:cs="仿宋_GB2312"/>
                <w:kern w:val="0"/>
                <w:sz w:val="20"/>
                <w:szCs w:val="21"/>
              </w:rPr>
            </w:pPr>
          </w:p>
        </w:tc>
        <w:tc>
          <w:tcPr>
            <w:tcW w:w="1650" w:type="dxa"/>
            <w:vAlign w:val="center"/>
          </w:tcPr>
          <w:p>
            <w:pPr>
              <w:adjustRightInd w:val="0"/>
              <w:snapToGrid w:val="0"/>
              <w:spacing w:line="30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vAlign w:val="center"/>
          </w:tcPr>
          <w:p>
            <w:pPr>
              <w:adjustRightInd w:val="0"/>
              <w:snapToGrid w:val="0"/>
              <w:spacing w:line="30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w:t>
            </w:r>
          </w:p>
        </w:tc>
        <w:tc>
          <w:tcPr>
            <w:tcW w:w="5310" w:type="dxa"/>
            <w:vAlign w:val="center"/>
          </w:tcPr>
          <w:p>
            <w:pPr>
              <w:adjustRightInd w:val="0"/>
              <w:snapToGrid w:val="0"/>
              <w:spacing w:line="300" w:lineRule="auto"/>
              <w:jc w:val="center"/>
              <w:rPr>
                <w:rFonts w:ascii="仿宋_GB2312" w:hAnsi="仿宋_GB2312" w:eastAsia="仿宋_GB2312" w:cs="仿宋_GB2312"/>
                <w:kern w:val="0"/>
                <w:sz w:val="20"/>
                <w:szCs w:val="21"/>
              </w:rPr>
            </w:pPr>
          </w:p>
        </w:tc>
        <w:tc>
          <w:tcPr>
            <w:tcW w:w="1650" w:type="dxa"/>
            <w:vAlign w:val="center"/>
          </w:tcPr>
          <w:p>
            <w:pPr>
              <w:adjustRightInd w:val="0"/>
              <w:snapToGrid w:val="0"/>
              <w:spacing w:line="30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vAlign w:val="center"/>
          </w:tcPr>
          <w:p>
            <w:pPr>
              <w:adjustRightInd w:val="0"/>
              <w:snapToGrid w:val="0"/>
              <w:spacing w:line="30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w:t>
            </w:r>
          </w:p>
        </w:tc>
        <w:tc>
          <w:tcPr>
            <w:tcW w:w="5310" w:type="dxa"/>
            <w:vAlign w:val="center"/>
          </w:tcPr>
          <w:p>
            <w:pPr>
              <w:adjustRightInd w:val="0"/>
              <w:snapToGrid w:val="0"/>
              <w:spacing w:line="300" w:lineRule="auto"/>
              <w:jc w:val="center"/>
              <w:rPr>
                <w:rFonts w:ascii="仿宋_GB2312" w:hAnsi="仿宋_GB2312" w:eastAsia="仿宋_GB2312" w:cs="仿宋_GB2312"/>
                <w:kern w:val="0"/>
                <w:sz w:val="20"/>
                <w:szCs w:val="21"/>
              </w:rPr>
            </w:pPr>
          </w:p>
        </w:tc>
        <w:tc>
          <w:tcPr>
            <w:tcW w:w="1650" w:type="dxa"/>
            <w:vAlign w:val="center"/>
          </w:tcPr>
          <w:p>
            <w:pPr>
              <w:adjustRightInd w:val="0"/>
              <w:snapToGrid w:val="0"/>
              <w:spacing w:line="30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vAlign w:val="center"/>
          </w:tcPr>
          <w:p>
            <w:pPr>
              <w:adjustRightInd w:val="0"/>
              <w:snapToGrid w:val="0"/>
              <w:spacing w:line="30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4</w:t>
            </w:r>
          </w:p>
        </w:tc>
        <w:tc>
          <w:tcPr>
            <w:tcW w:w="5310" w:type="dxa"/>
            <w:vAlign w:val="center"/>
          </w:tcPr>
          <w:p>
            <w:pPr>
              <w:adjustRightInd w:val="0"/>
              <w:snapToGrid w:val="0"/>
              <w:spacing w:line="300" w:lineRule="auto"/>
              <w:jc w:val="center"/>
              <w:rPr>
                <w:rFonts w:ascii="仿宋_GB2312" w:hAnsi="仿宋_GB2312" w:eastAsia="仿宋_GB2312" w:cs="仿宋_GB2312"/>
                <w:kern w:val="0"/>
                <w:sz w:val="20"/>
                <w:szCs w:val="21"/>
              </w:rPr>
            </w:pPr>
          </w:p>
        </w:tc>
        <w:tc>
          <w:tcPr>
            <w:tcW w:w="1650" w:type="dxa"/>
            <w:vAlign w:val="center"/>
          </w:tcPr>
          <w:p>
            <w:pPr>
              <w:adjustRightInd w:val="0"/>
              <w:snapToGrid w:val="0"/>
              <w:spacing w:line="30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vAlign w:val="center"/>
          </w:tcPr>
          <w:p>
            <w:pPr>
              <w:adjustRightInd w:val="0"/>
              <w:snapToGrid w:val="0"/>
              <w:spacing w:line="30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5</w:t>
            </w:r>
          </w:p>
        </w:tc>
        <w:tc>
          <w:tcPr>
            <w:tcW w:w="5310" w:type="dxa"/>
            <w:vAlign w:val="center"/>
          </w:tcPr>
          <w:p>
            <w:pPr>
              <w:adjustRightInd w:val="0"/>
              <w:snapToGrid w:val="0"/>
              <w:spacing w:line="300" w:lineRule="auto"/>
              <w:jc w:val="center"/>
              <w:rPr>
                <w:rFonts w:ascii="仿宋_GB2312" w:hAnsi="仿宋_GB2312" w:eastAsia="仿宋_GB2312" w:cs="仿宋_GB2312"/>
                <w:kern w:val="0"/>
                <w:sz w:val="20"/>
                <w:szCs w:val="21"/>
              </w:rPr>
            </w:pPr>
          </w:p>
        </w:tc>
        <w:tc>
          <w:tcPr>
            <w:tcW w:w="1650" w:type="dxa"/>
            <w:vAlign w:val="center"/>
          </w:tcPr>
          <w:p>
            <w:pPr>
              <w:adjustRightInd w:val="0"/>
              <w:snapToGrid w:val="0"/>
              <w:spacing w:line="300" w:lineRule="auto"/>
              <w:jc w:val="center"/>
              <w:rPr>
                <w:rFonts w:ascii="仿宋_GB2312" w:hAnsi="仿宋_GB2312" w:eastAsia="仿宋_GB2312" w:cs="仿宋_GB2312"/>
                <w:kern w:val="0"/>
                <w:sz w:val="20"/>
                <w:szCs w:val="21"/>
              </w:rPr>
            </w:pPr>
          </w:p>
        </w:tc>
      </w:tr>
    </w:tbl>
    <w:p>
      <w:pPr>
        <w:adjustRightInd w:val="0"/>
        <w:snapToGrid w:val="0"/>
        <w:spacing w:line="300" w:lineRule="auto"/>
        <w:ind w:firstLine="280" w:firstLineChars="100"/>
        <w:rPr>
          <w:rFonts w:ascii="仿宋_GB2312" w:hAnsi="仿宋_GB2312" w:eastAsia="仿宋_GB2312" w:cs="仿宋_GB2312"/>
          <w:sz w:val="28"/>
          <w:szCs w:val="28"/>
        </w:rPr>
        <w:sectPr>
          <w:pgSz w:w="11906" w:h="16838"/>
          <w:pgMar w:top="1213" w:right="1531" w:bottom="1213" w:left="1531" w:header="851" w:footer="992" w:gutter="0"/>
          <w:cols w:space="425" w:num="1"/>
          <w:docGrid w:type="lines" w:linePitch="312" w:charSpace="0"/>
        </w:sectPr>
      </w:pPr>
      <w:r>
        <w:rPr>
          <w:rFonts w:hint="eastAsia" w:ascii="仿宋_GB2312" w:hAnsi="仿宋_GB2312" w:eastAsia="仿宋_GB2312" w:cs="仿宋_GB2312"/>
          <w:sz w:val="28"/>
          <w:szCs w:val="28"/>
        </w:rPr>
        <w:t xml:space="preserve">填报人姓名：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联系方式：</w:t>
      </w:r>
    </w:p>
    <w:p>
      <w:pPr>
        <w:pStyle w:val="3"/>
        <w:shd w:val="clear" w:color="auto" w:fill="FFFFFF"/>
        <w:adjustRightInd w:val="0"/>
        <w:snapToGrid w:val="0"/>
        <w:spacing w:before="0" w:beforeAutospacing="0" w:after="0" w:afterAutospacing="0" w:line="300" w:lineRule="auto"/>
        <w:rPr>
          <w:b/>
          <w:bCs/>
          <w:color w:val="000000"/>
          <w:sz w:val="28"/>
          <w:szCs w:val="28"/>
        </w:rPr>
      </w:pPr>
      <w:r>
        <w:rPr>
          <w:rFonts w:hint="eastAsia"/>
          <w:b/>
          <w:bCs/>
          <w:color w:val="000000"/>
          <w:sz w:val="28"/>
          <w:szCs w:val="28"/>
        </w:rPr>
        <w:t>附件2</w:t>
      </w:r>
    </w:p>
    <w:p>
      <w:pPr>
        <w:pStyle w:val="3"/>
        <w:shd w:val="clear" w:color="auto" w:fill="FFFFFF"/>
        <w:adjustRightInd w:val="0"/>
        <w:snapToGrid w:val="0"/>
        <w:spacing w:before="0" w:beforeAutospacing="0" w:after="0" w:afterAutospacing="0" w:line="300" w:lineRule="auto"/>
        <w:jc w:val="center"/>
        <w:rPr>
          <w:rFonts w:ascii="Calibri" w:hAnsi="Calibri"/>
          <w:color w:val="000000"/>
          <w:sz w:val="21"/>
          <w:szCs w:val="21"/>
        </w:rPr>
      </w:pPr>
      <w:r>
        <w:rPr>
          <w:rFonts w:hint="eastAsia"/>
          <w:b/>
          <w:bCs/>
          <w:color w:val="000000"/>
          <w:sz w:val="28"/>
          <w:szCs w:val="28"/>
        </w:rPr>
        <w:t>湖南开放大学2021年度</w:t>
      </w:r>
    </w:p>
    <w:p>
      <w:pPr>
        <w:pStyle w:val="3"/>
        <w:shd w:val="clear" w:color="auto" w:fill="FFFFFF"/>
        <w:adjustRightInd w:val="0"/>
        <w:snapToGrid w:val="0"/>
        <w:spacing w:before="0" w:beforeAutospacing="0" w:after="0" w:afterAutospacing="0" w:line="300" w:lineRule="auto"/>
        <w:jc w:val="center"/>
        <w:rPr>
          <w:rFonts w:ascii="Calibri" w:hAnsi="Calibri"/>
          <w:color w:val="000000"/>
          <w:sz w:val="21"/>
          <w:szCs w:val="21"/>
        </w:rPr>
      </w:pPr>
      <w:r>
        <w:rPr>
          <w:rFonts w:hint="eastAsia"/>
          <w:b/>
          <w:bCs/>
          <w:color w:val="000000"/>
          <w:sz w:val="28"/>
          <w:szCs w:val="28"/>
        </w:rPr>
        <w:t>校级科研课题指南</w:t>
      </w:r>
    </w:p>
    <w:p>
      <w:pPr>
        <w:pStyle w:val="3"/>
        <w:shd w:val="clear" w:color="auto" w:fill="FFFFFF"/>
        <w:adjustRightInd w:val="0"/>
        <w:snapToGrid w:val="0"/>
        <w:spacing w:before="0" w:beforeAutospacing="0" w:after="0" w:afterAutospacing="0" w:line="300" w:lineRule="auto"/>
        <w:jc w:val="both"/>
        <w:rPr>
          <w:rFonts w:ascii="Calibri" w:hAnsi="Calibri"/>
          <w:color w:val="000000"/>
          <w:sz w:val="21"/>
          <w:szCs w:val="21"/>
        </w:rPr>
      </w:pPr>
      <w:r>
        <w:rPr>
          <w:rFonts w:hint="eastAsia"/>
          <w:color w:val="000000"/>
          <w:sz w:val="28"/>
          <w:szCs w:val="28"/>
        </w:rPr>
        <w:t> </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本《指南》主要关注湖南开放大学当前面临的重大理论和实践问题。在深化远程教育科学研究的同时，按照上级精神要求，增加了思想政治教育和师德学风研究，加强了关于开放大学办学体系社会服务功能的研究和与实践相关研究。鼓励大胆探索，注重针对性和实效性，力避低水平重复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本《指南》仅为研究方向，并不是具体的研究选题，仅供参考。选题可进一步细化分解，结合实际，使其具有较强的针对性、可操作性和推广价值。申报者可从研究方向涵盖的内容自行确定具体选题，理论与实践相结合开展研究。对于具体学科的研究，申报者可根据自身的专业方向、研究专长，跟踪本学科发展前沿，就本学科研究领域的热点、难点、重点问题确定具体题目申报。</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一、党建与思想政治工作</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1.新时代高校党建工作创新研究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2.大学生党员发展和教育管理工作研究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3.习近平新时代中国特色社会主义思想体系解读</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4.高校师德师风评价与管理工作研究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5.高校大学生诚信教育及诚信体系建设研究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6.高校思想政治工作中网络话语权与舆情引导策略研究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7.当代大学生民族精神、时代精神及其理想信念教育研究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8.大学生思想政治教育新方法、新载体和新途径研究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9.辅导员职业化与专业化发展研究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10.高校校园安全管理体系建设研究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11.高校学生心理健康干预与预警模式研究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二、学科研究</w:t>
      </w:r>
    </w:p>
    <w:p>
      <w:pPr>
        <w:pStyle w:val="3"/>
        <w:shd w:val="clear" w:color="auto" w:fill="FFFFFF"/>
        <w:adjustRightInd w:val="0"/>
        <w:snapToGrid w:val="0"/>
        <w:spacing w:before="0" w:beforeAutospacing="0" w:after="0" w:afterAutospacing="0" w:line="300" w:lineRule="auto"/>
        <w:ind w:firstLine="560"/>
        <w:jc w:val="both"/>
        <w:rPr>
          <w:rFonts w:ascii="仿宋" w:hAnsi="仿宋" w:eastAsia="仿宋"/>
          <w:color w:val="000000"/>
          <w:sz w:val="28"/>
          <w:szCs w:val="28"/>
        </w:rPr>
      </w:pPr>
      <w:r>
        <w:rPr>
          <w:rFonts w:hint="eastAsia" w:ascii="仿宋" w:hAnsi="仿宋" w:eastAsia="仿宋"/>
          <w:color w:val="000000"/>
          <w:sz w:val="28"/>
          <w:szCs w:val="28"/>
        </w:rPr>
        <w:t>申报者可以根据自身专业研究方向，结合前期研究成果，选择学科领域内热点问题、前沿问题确定具体申报选题，理论与实践相结合开展研究。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三、教育教学研究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（一）开放教育研究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1.湖南特色远程开放教育理论研究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2.新媒体环境下教学资源的共建共享机制研究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3.开放教育网络教学团队建设研究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4.开放教育教学交互过程和效果实证研究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5.开放教育学习支持服务方式创新研究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6.远程开放教育与高职教育互通机制研究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7.远程教育特色科研团队组建研究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8.教师移动教学能力提升策略研究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9.学校信息化建设研究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10.乡村振兴战略背景下职业农民培养机制研究</w:t>
      </w:r>
      <w:r>
        <w:rPr>
          <w:rFonts w:hint="eastAsia"/>
          <w:color w:val="000000"/>
          <w:sz w:val="28"/>
          <w:szCs w:val="28"/>
        </w:rPr>
        <w:t> </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（二）职业教育研究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1.高职院校内涵发展战略研究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2.高职院校校企合作长效机制研究和实践</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3.职业教育产教融合、校企合作机制研究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4.高职教育服务中小企业工艺升级、流程再造研究</w:t>
      </w:r>
      <w:r>
        <w:rPr>
          <w:rFonts w:hint="eastAsia"/>
          <w:color w:val="000000"/>
          <w:sz w:val="28"/>
          <w:szCs w:val="28"/>
        </w:rPr>
        <w:t> </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5.“现代学徒制”人才培养模式下企业实习课程考核评价研究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6.“双一流”建设背景下高职教育青年教师教学能力研究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7.“中国制造2025”与职业教育的协同发展研究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8.基于“工作室”平台的高职生创新教育研究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9.职业教育与培训对接劳动力市场研究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10.高职院校学生职业核心能力与职业素养提升研究</w:t>
      </w:r>
      <w:r>
        <w:rPr>
          <w:rFonts w:hint="eastAsia"/>
          <w:color w:val="000000"/>
          <w:sz w:val="28"/>
          <w:szCs w:val="28"/>
        </w:rPr>
        <w:t> </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11.职业教育实训基地的共享机制研究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12.高职院校网络在线开放课程建设研究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13.高职院校现代学徒制建设研究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14.高职院校教师教学能力培养与提升机制研究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15.高职院校图书馆助力优质院校建设研究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（三）终身教育研究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1.终身学习质量保障体系研究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2.区域经济发展与社区教育服务功能研究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3.学历教育与非学历教育资源共享研究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4.乡村振兴战略背景下农村社区教育的发展研究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5.社区教育标准化建设研究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6.社区老年教育问题研究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7.社区教育管理体制改革与创新研究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8.特色社区教育基地建设研究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9.湖南终身教育学习成果认证机制的功能定位、制度模式与实施路径研究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10.学分银行信息服务平台的理念设计与功能开发</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（四）“村（社区）基层组织人才定向培养”试点</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1.村（社区）基层组织人才定向培养模式创新研究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2.村（社区）基层组织人才定向培养“双师型”教师队伍建设研究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3.村（社区）基层组织人才定向培养教学创新团队建设研究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4.村（社区）基层组织人才定向培养专业“课证融通”课程体系重构</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5.村（社区）基层组织人才定向培养课程资源库建设研究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6.村（社区）基层组织人才定向培养质量标准研究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7.村（社区）基层组织人才定向培养评估指标体系研究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8.村（社区）基层组织人才定向培养质量提升路径研究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9.村（社区）基层组织人才定向培养绩效评估研究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10.村（社区）基层组织人才定向培养实践教学体系构建研究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11.村（社区）基层组织人才定向培养实践教学平台创建研究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12.村（社区）基层组织人才定向培养实践教学基地建设与应用研究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13.村（社区）基层组织人才定向培养课程教学改革与创新研究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14.村（社区）基层组织人才定向培养“课程思政”教学设计研究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15.村（社区）基层组织人才定向培养课程资源的建设与研究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16.村（社区）基层组织人才定向培养课程考试改革与创新</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17.村（社区）基层组织人才定向培养成本分摊机制研究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18.“质量型”基层组织人才定向培养协同机制研究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19. 乡村振兴背景下开放教育与高职教育融通机制研究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20. 基于三级办学体系的开放式高职学生管理研究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21. 基于三级办学体系的开放式高职学生教学研究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22. 新时代开放大学服务乡村振兴的路径研究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23.乡村振兴背景下湖湘文化产业融合发展路径研究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24.文旅融合与乡村振兴衔接问题研究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25.村、社区干部人才培养的逻辑与功能研究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26.创新创业视域下的乡村振兴策略探究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27.乡村振兴战略背景下大学生村官的选拔与培养策略研究</w:t>
      </w:r>
    </w:p>
    <w:p>
      <w:pPr>
        <w:adjustRightInd w:val="0"/>
        <w:snapToGrid w:val="0"/>
        <w:spacing w:line="300" w:lineRule="auto"/>
        <w:ind w:firstLine="560" w:firstLineChars="200"/>
        <w:rPr>
          <w:rFonts w:ascii="仿宋" w:hAnsi="仿宋" w:eastAsia="仿宋"/>
          <w:sz w:val="28"/>
          <w:szCs w:val="24"/>
        </w:rPr>
      </w:pPr>
    </w:p>
    <w:p>
      <w:pPr>
        <w:adjustRightInd w:val="0"/>
        <w:snapToGrid w:val="0"/>
        <w:spacing w:line="300" w:lineRule="auto"/>
        <w:ind w:firstLine="560" w:firstLineChars="200"/>
        <w:rPr>
          <w:rFonts w:ascii="仿宋" w:hAnsi="仿宋" w:eastAsia="仿宋"/>
          <w:sz w:val="28"/>
          <w:szCs w:val="24"/>
        </w:rPr>
      </w:pPr>
    </w:p>
    <w:sectPr>
      <w:pgSz w:w="11906" w:h="16838"/>
      <w:pgMar w:top="1213" w:right="1531" w:bottom="1213"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Dk3ZmZlNDNhZTRhM2M1ZmFhZTA2YjYzMjNhYjgifQ=="/>
  </w:docVars>
  <w:rsids>
    <w:rsidRoot w:val="00AC05EE"/>
    <w:rsid w:val="00026502"/>
    <w:rsid w:val="0006005F"/>
    <w:rsid w:val="001538E9"/>
    <w:rsid w:val="002C3765"/>
    <w:rsid w:val="002C48CC"/>
    <w:rsid w:val="00310A8C"/>
    <w:rsid w:val="004A19CD"/>
    <w:rsid w:val="00575A25"/>
    <w:rsid w:val="00577EC7"/>
    <w:rsid w:val="005E5740"/>
    <w:rsid w:val="00663445"/>
    <w:rsid w:val="006B23EE"/>
    <w:rsid w:val="008F0F63"/>
    <w:rsid w:val="00A27671"/>
    <w:rsid w:val="00AA4257"/>
    <w:rsid w:val="00AB4614"/>
    <w:rsid w:val="00AC05EE"/>
    <w:rsid w:val="00B07186"/>
    <w:rsid w:val="00B96A19"/>
    <w:rsid w:val="00C13B34"/>
    <w:rsid w:val="00D94B89"/>
    <w:rsid w:val="00DF600F"/>
    <w:rsid w:val="00EA612D"/>
    <w:rsid w:val="00F35278"/>
    <w:rsid w:val="00F515FE"/>
    <w:rsid w:val="00F57043"/>
    <w:rsid w:val="00FC110A"/>
    <w:rsid w:val="0D23745E"/>
    <w:rsid w:val="0F4D1A8A"/>
    <w:rsid w:val="0F9C48DB"/>
    <w:rsid w:val="21ED3D22"/>
    <w:rsid w:val="26964247"/>
    <w:rsid w:val="29001E4B"/>
    <w:rsid w:val="32FE7920"/>
    <w:rsid w:val="3AFA0C26"/>
    <w:rsid w:val="3BC767F9"/>
    <w:rsid w:val="5140423B"/>
    <w:rsid w:val="5B4041A6"/>
    <w:rsid w:val="5EEB5B96"/>
    <w:rsid w:val="660741F9"/>
    <w:rsid w:val="73BE7F06"/>
    <w:rsid w:val="74A4574D"/>
    <w:rsid w:val="797A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paragraph" w:styleId="8">
    <w:name w:val="List Paragraph"/>
    <w:basedOn w:val="1"/>
    <w:qFormat/>
    <w:uiPriority w:val="34"/>
    <w:pPr>
      <w:ind w:firstLine="420" w:firstLineChars="200"/>
    </w:pPr>
  </w:style>
  <w:style w:type="character" w:customStyle="1" w:styleId="9">
    <w:name w:val="标题 2 Char"/>
    <w:basedOn w:val="6"/>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334</Words>
  <Characters>1910</Characters>
  <Lines>15</Lines>
  <Paragraphs>4</Paragraphs>
  <TotalTime>1</TotalTime>
  <ScaleCrop>false</ScaleCrop>
  <LinksUpToDate>false</LinksUpToDate>
  <CharactersWithSpaces>2240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2022-06-10T08:07:00Z</dcterms:created>
  <dc:creator>Administrator</dc:creator>
  <cp:lastModifiedBy>竹林第九(老曾)</cp:lastModifiedBy>
  <cp:lastPrinted>2022-06-10T06:51:00Z</cp:lastPrinted>
  <dcterms:modified xsi:type="dcterms:W3CDTF">2022-06-10T08:07:23Z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58951E0E62DC42019654C784875522AF</vt:lpwstr>
  </property>
</Properties>
</file>