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0CC" w:rsidRPr="007230CC" w:rsidRDefault="007230CC" w:rsidP="007230CC">
      <w:pPr>
        <w:pStyle w:val="3"/>
        <w:jc w:val="center"/>
      </w:pPr>
      <w:bookmarkStart w:id="0" w:name="_GoBack"/>
      <w:r w:rsidRPr="007230CC">
        <w:rPr>
          <w:rStyle w:val="a8"/>
          <w:b/>
          <w:bCs/>
        </w:rPr>
        <w:t>教育部办公厅关于严格规范高等学历继续教育校外教学点设置与管理工作的通知</w:t>
      </w:r>
    </w:p>
    <w:bookmarkEnd w:id="0"/>
    <w:p w:rsidR="007230CC" w:rsidRDefault="007230CC" w:rsidP="007230CC">
      <w:pPr>
        <w:pStyle w:val="a7"/>
        <w:ind w:firstLineChars="50" w:firstLine="140"/>
        <w:rPr>
          <w:rFonts w:asciiTheme="minorEastAsia" w:eastAsiaTheme="minorEastAsia" w:hAnsiTheme="minorEastAsia" w:hint="eastAsia"/>
          <w:sz w:val="28"/>
          <w:szCs w:val="28"/>
        </w:rPr>
      </w:pPr>
    </w:p>
    <w:p w:rsidR="007230CC" w:rsidRPr="007230CC" w:rsidRDefault="007230CC" w:rsidP="007230CC">
      <w:pPr>
        <w:pStyle w:val="a7"/>
        <w:ind w:firstLineChars="250" w:firstLine="700"/>
        <w:rPr>
          <w:rFonts w:asciiTheme="minorEastAsia" w:eastAsiaTheme="minorEastAsia" w:hAnsiTheme="minorEastAsia"/>
          <w:sz w:val="28"/>
          <w:szCs w:val="28"/>
        </w:rPr>
      </w:pPr>
      <w:r w:rsidRPr="007230CC">
        <w:rPr>
          <w:rFonts w:asciiTheme="minorEastAsia" w:eastAsiaTheme="minorEastAsia" w:hAnsiTheme="minorEastAsia"/>
          <w:sz w:val="28"/>
          <w:szCs w:val="28"/>
        </w:rPr>
        <w:t>各省、自治区、直辖市教育厅（教委），新疆生产建设兵团教育局，部属各高等学校、部省合建各高等学校，国家开放大学：</w:t>
      </w:r>
    </w:p>
    <w:p w:rsidR="007230CC" w:rsidRPr="007230CC" w:rsidRDefault="007230CC" w:rsidP="007230CC">
      <w:pPr>
        <w:pStyle w:val="a7"/>
        <w:ind w:firstLine="480"/>
        <w:rPr>
          <w:rFonts w:asciiTheme="minorEastAsia" w:eastAsiaTheme="minorEastAsia" w:hAnsiTheme="minorEastAsia"/>
          <w:sz w:val="28"/>
          <w:szCs w:val="28"/>
        </w:rPr>
      </w:pPr>
      <w:r w:rsidRPr="007230CC">
        <w:rPr>
          <w:rFonts w:asciiTheme="minorEastAsia" w:eastAsiaTheme="minorEastAsia" w:hAnsiTheme="minorEastAsia"/>
          <w:sz w:val="28"/>
          <w:szCs w:val="28"/>
        </w:rPr>
        <w:t>为贯彻落实党中央、国务院关于办好继续教育的决策部署，严格规范高等学历继续教育校外教学点（函授站、业余点、校外学习中心以及开放大学在系统外设置的学习中心等，统一规范称为校外教学点）设置与管理，推动高等学历继续教育健康有序发展，现就有关事项通知如下。</w:t>
      </w:r>
    </w:p>
    <w:p w:rsidR="007230CC" w:rsidRPr="007230CC" w:rsidRDefault="007230CC" w:rsidP="007230CC">
      <w:pPr>
        <w:pStyle w:val="a7"/>
        <w:ind w:firstLine="480"/>
        <w:rPr>
          <w:rFonts w:asciiTheme="minorEastAsia" w:eastAsiaTheme="minorEastAsia" w:hAnsiTheme="minorEastAsia"/>
          <w:sz w:val="28"/>
          <w:szCs w:val="28"/>
        </w:rPr>
      </w:pPr>
      <w:r w:rsidRPr="007230CC">
        <w:rPr>
          <w:rStyle w:val="a8"/>
          <w:rFonts w:asciiTheme="minorEastAsia" w:eastAsiaTheme="minorEastAsia" w:hAnsiTheme="minorEastAsia"/>
          <w:color w:val="004884"/>
          <w:sz w:val="28"/>
          <w:szCs w:val="28"/>
        </w:rPr>
        <w:t>一、深刻认识规范校外教学点设置与管理的重要性。</w:t>
      </w:r>
      <w:r w:rsidRPr="007230CC">
        <w:rPr>
          <w:rFonts w:asciiTheme="minorEastAsia" w:eastAsiaTheme="minorEastAsia" w:hAnsiTheme="minorEastAsia"/>
          <w:sz w:val="28"/>
          <w:szCs w:val="28"/>
        </w:rPr>
        <w:t>校外教学点是高等学校（以下简称高校）为满足高等学历继续教育教学需要，以平等协商方式与校外其他法人单位（以下简称设点单位）合作，依托设点单位的场地、人员、设施等资源，开展招生宣传、线下面授、学习辅导、集中考试、实验实训、毕业指导、学生服务与管理等教育教学活动的场所，是高校举办高等学历继续教育的依托和服务延伸，其教学和管理状况直接体现高校的办学质量，直接关系高校的品牌声誉。各地各高校要充分认识规范校外教学点设置与管理工作的重要意义，审慎研究、科学布局，加强教学过程监管和纪律约束，确保在高校治理能力范围内有限设置，并能管得住、管得好。</w:t>
      </w:r>
    </w:p>
    <w:p w:rsidR="007230CC" w:rsidRPr="007230CC" w:rsidRDefault="007230CC" w:rsidP="007230CC">
      <w:pPr>
        <w:pStyle w:val="a7"/>
        <w:ind w:firstLine="480"/>
        <w:rPr>
          <w:rFonts w:asciiTheme="minorEastAsia" w:eastAsiaTheme="minorEastAsia" w:hAnsiTheme="minorEastAsia"/>
          <w:sz w:val="28"/>
          <w:szCs w:val="28"/>
        </w:rPr>
      </w:pPr>
      <w:r w:rsidRPr="007230CC">
        <w:rPr>
          <w:rStyle w:val="a8"/>
          <w:rFonts w:asciiTheme="minorEastAsia" w:eastAsiaTheme="minorEastAsia" w:hAnsiTheme="minorEastAsia"/>
          <w:color w:val="004884"/>
          <w:sz w:val="28"/>
          <w:szCs w:val="28"/>
        </w:rPr>
        <w:lastRenderedPageBreak/>
        <w:t>二、严格控制校外教学点设点数量和范围。</w:t>
      </w:r>
      <w:r w:rsidRPr="007230CC">
        <w:rPr>
          <w:rFonts w:asciiTheme="minorEastAsia" w:eastAsiaTheme="minorEastAsia" w:hAnsiTheme="minorEastAsia"/>
          <w:sz w:val="28"/>
          <w:szCs w:val="28"/>
        </w:rPr>
        <w:t>高校应根据自身办学定位、优势特色、发展规划、监管能力，以及地方人才需求和教育行政部门要求，合理规划校外教学点布局，严格控制校外教学点数量，慎重选择设点单位。中央部门所属普通高校特别是高水平研究型大学应聚焦“一流”，主动减少校外教学点数量，确有设置需要的高校应做好总量控制，原则上数量只减不增。中央部门所属高校可跨省设置校外教学点，由教育部会同省级教育行政部门统筹确定。地方高校原则上应在本省级行政区域内设置校外教学点，因承接对口帮扶、行业紧缺人才培养任务或列入“双一流”建设计划的地方高校，可通过有关程序跨省设置校外教学点、开设相应的优势专业。设点单位原则上应为普通高校、职业院校、成人高校、开放大学以及设有内部培训机构的行政机关和事业单位。确有需要，高校也可在设有内部培训机构的国有大中型企业设置校外教学点，但仅限招收该企业内部职工，不得面向社会招生。高校开展送教上门等合作办学，应纳入校外教学点管理。各地可根据实际情况，适当保留条件良好、管理规范、保障有力的实施成人文化教育的民办非企业单位（须取得三年以上经教育行政部门审批的民办学校办学许可证，同时具有民办非企业单位登记证书）作为设点单位，总体数量只减不增。</w:t>
      </w:r>
    </w:p>
    <w:p w:rsidR="007230CC" w:rsidRPr="007230CC" w:rsidRDefault="007230CC" w:rsidP="007230CC">
      <w:pPr>
        <w:pStyle w:val="a7"/>
        <w:ind w:firstLine="480"/>
        <w:rPr>
          <w:rFonts w:asciiTheme="minorEastAsia" w:eastAsiaTheme="minorEastAsia" w:hAnsiTheme="minorEastAsia"/>
          <w:sz w:val="28"/>
          <w:szCs w:val="28"/>
        </w:rPr>
      </w:pPr>
      <w:r w:rsidRPr="007230CC">
        <w:rPr>
          <w:rStyle w:val="a8"/>
          <w:rFonts w:asciiTheme="minorEastAsia" w:eastAsiaTheme="minorEastAsia" w:hAnsiTheme="minorEastAsia"/>
          <w:color w:val="004884"/>
          <w:sz w:val="28"/>
          <w:szCs w:val="28"/>
        </w:rPr>
        <w:t>三、压实高校的办学主体责任。</w:t>
      </w:r>
      <w:r w:rsidRPr="007230CC">
        <w:rPr>
          <w:rFonts w:asciiTheme="minorEastAsia" w:eastAsiaTheme="minorEastAsia" w:hAnsiTheme="minorEastAsia"/>
          <w:sz w:val="28"/>
          <w:szCs w:val="28"/>
        </w:rPr>
        <w:t>高校要秉承公益性原则，将高等学历继续教育纳入学校整体发展规划，将校外教学点建设纳入学校党委重要议事日程，厘清高校与设点单位之间的责、权、利。要统一归口管理，建立健全管理制度和监管机制，联合学校财务、审计、教务、教师管理、学生管理、巡视巡察、纪检监察等部门定期开展校外教学</w:t>
      </w:r>
      <w:r w:rsidRPr="007230CC">
        <w:rPr>
          <w:rFonts w:asciiTheme="minorEastAsia" w:eastAsiaTheme="minorEastAsia" w:hAnsiTheme="minorEastAsia"/>
          <w:sz w:val="28"/>
          <w:szCs w:val="28"/>
        </w:rPr>
        <w:lastRenderedPageBreak/>
        <w:t>点检查评估，及时堵住风险漏洞。对存在违规行为或不符合办学要求的校外教学点要及时整改或者撤销。对停止招生或撤销的校外教学点，高校须会同设点单位做好善后工作，确保稳妥完成在籍学生培养任务。高校不得以任何形式与不符合要求的机构合作或放任“点外设点”等违规行为。支持、引导有条件的高校直接通过校本部集中面授与线上教学相结合的方式举办非脱产形式的学历继续教育。</w:t>
      </w:r>
    </w:p>
    <w:p w:rsidR="007230CC" w:rsidRPr="007230CC" w:rsidRDefault="007230CC" w:rsidP="007230CC">
      <w:pPr>
        <w:pStyle w:val="a7"/>
        <w:ind w:firstLine="480"/>
        <w:rPr>
          <w:rFonts w:asciiTheme="minorEastAsia" w:eastAsiaTheme="minorEastAsia" w:hAnsiTheme="minorEastAsia"/>
          <w:sz w:val="28"/>
          <w:szCs w:val="28"/>
        </w:rPr>
      </w:pPr>
      <w:r w:rsidRPr="007230CC">
        <w:rPr>
          <w:rStyle w:val="a8"/>
          <w:rFonts w:asciiTheme="minorEastAsia" w:eastAsiaTheme="minorEastAsia" w:hAnsiTheme="minorEastAsia"/>
          <w:color w:val="004884"/>
          <w:sz w:val="28"/>
          <w:szCs w:val="28"/>
        </w:rPr>
        <w:t>四、进一步明确和落实校外教学点的职责要求。</w:t>
      </w:r>
      <w:r w:rsidRPr="007230CC">
        <w:rPr>
          <w:rFonts w:asciiTheme="minorEastAsia" w:eastAsiaTheme="minorEastAsia" w:hAnsiTheme="minorEastAsia"/>
          <w:sz w:val="28"/>
          <w:szCs w:val="28"/>
        </w:rPr>
        <w:t>高校应制定专门的管理规定，通过与设点单位签订具有法律效应的合同方式对校外教学点进行约束和管理，在合同中明确校外教学点的职责及其权利和义务，以及中止合作协议的情形等。高校要指导校外教学点认真贯彻党的教育方针，遵守法律法规，严格执行教育行政部门、高校和设点单位的相关政策制度；配合开展招生宣传、咨询服务及学生报名注册等工作；配合完成有关教学组织、学生活动组织与管理工作；落实意识形态工作要求，配合做好学生的思想政治教育工作；做好辅导教师、教辅人员等的推荐与管理工作；负责场地、消防、食品、卫生、网络信息等方面的安全管理，建立健全安全管理制度和应急预警处理机制；健全行政、教学、后勤、财务等管理制度和岗位责任制，并严格执行；定期对所承担的辅助教学和管理工作进行自查，并配合高校和教育行政部门的工作检查。</w:t>
      </w:r>
    </w:p>
    <w:p w:rsidR="007230CC" w:rsidRPr="007230CC" w:rsidRDefault="007230CC" w:rsidP="007230CC">
      <w:pPr>
        <w:pStyle w:val="a7"/>
        <w:ind w:firstLine="480"/>
        <w:rPr>
          <w:rFonts w:asciiTheme="minorEastAsia" w:eastAsiaTheme="minorEastAsia" w:hAnsiTheme="minorEastAsia"/>
          <w:sz w:val="28"/>
          <w:szCs w:val="28"/>
        </w:rPr>
      </w:pPr>
      <w:r w:rsidRPr="007230CC">
        <w:rPr>
          <w:rStyle w:val="a8"/>
          <w:rFonts w:asciiTheme="minorEastAsia" w:eastAsiaTheme="minorEastAsia" w:hAnsiTheme="minorEastAsia"/>
          <w:color w:val="004884"/>
          <w:sz w:val="28"/>
          <w:szCs w:val="28"/>
        </w:rPr>
        <w:t>五、落实落细教育教学各环节要求。</w:t>
      </w:r>
      <w:r w:rsidRPr="007230CC">
        <w:rPr>
          <w:rFonts w:asciiTheme="minorEastAsia" w:eastAsiaTheme="minorEastAsia" w:hAnsiTheme="minorEastAsia"/>
          <w:sz w:val="28"/>
          <w:szCs w:val="28"/>
        </w:rPr>
        <w:t>高校要按照国家专业教学基本要求和专业人才培养方案等，指导校外教学点落实教学计划与要求，完善相关教学条件。要配备与校外教学点学生规模相适应的专兼职教</w:t>
      </w:r>
      <w:r w:rsidRPr="007230CC">
        <w:rPr>
          <w:rFonts w:asciiTheme="minorEastAsia" w:eastAsiaTheme="minorEastAsia" w:hAnsiTheme="minorEastAsia"/>
          <w:sz w:val="28"/>
          <w:szCs w:val="28"/>
        </w:rPr>
        <w:lastRenderedPageBreak/>
        <w:t>师、辅导教师队伍，定期组织对校外教学点教学与管理人员的思想政治教育和业务培训。主讲教师须全部由高校专任教师或正式聘用的兼职教师担任；辅导教师由高校选派，也可经校外教学点推荐后由高校认定选用。国家开放大学主讲教师由其总部和分部正式聘用，辅导教师可由分部认定选用。教师应遵守教育行政部门制定的关于师德师风、职业行为准则等相关规定，具备相应专业能力。严禁不具备高等教育基本教学能力的人员授课或辅导。高校要严肃学风考纪和考勤考核，严格毕业要求，对无故不参加教学活动、规定学习年限内不能完成学业、不符合毕业条件的学生，应及时给予退学处理。高校要加强毕业论文（设计）指导与服务，确保全程指导、全员查重，原则上本科学生应全员答辩；要严肃处理论文抄袭、代写等学术不端行为，严把学位授予关，健全人才培养质量过程监管制度。</w:t>
      </w:r>
    </w:p>
    <w:p w:rsidR="007230CC" w:rsidRPr="007230CC" w:rsidRDefault="007230CC" w:rsidP="007230CC">
      <w:pPr>
        <w:pStyle w:val="a7"/>
        <w:ind w:firstLine="480"/>
        <w:rPr>
          <w:rFonts w:asciiTheme="minorEastAsia" w:eastAsiaTheme="minorEastAsia" w:hAnsiTheme="minorEastAsia"/>
          <w:sz w:val="28"/>
          <w:szCs w:val="28"/>
        </w:rPr>
      </w:pPr>
      <w:r w:rsidRPr="007230CC">
        <w:rPr>
          <w:rStyle w:val="a8"/>
          <w:rFonts w:asciiTheme="minorEastAsia" w:eastAsiaTheme="minorEastAsia" w:hAnsiTheme="minorEastAsia"/>
          <w:color w:val="004884"/>
          <w:sz w:val="28"/>
          <w:szCs w:val="28"/>
        </w:rPr>
        <w:t>六、加强招生宣传和学籍管理。</w:t>
      </w:r>
      <w:r w:rsidRPr="007230CC">
        <w:rPr>
          <w:rFonts w:asciiTheme="minorEastAsia" w:eastAsiaTheme="minorEastAsia" w:hAnsiTheme="minorEastAsia"/>
          <w:sz w:val="28"/>
          <w:szCs w:val="28"/>
        </w:rPr>
        <w:t>高校要强化招生广告宣传管理，招生简章等材料应统一由学校印发。校外教学点未经高校法人授权不得自行开展招生宣传，不得虚假承诺、夸大宣传或委托其他组织（个人）代为招生宣传；不得提供“代报名”“代学”“替考”等违规托管服务；不得跨省开展招生和宣传。高校对校外教学点学生学籍注册进行统一管理，所有学生学籍档案必须由所在高校保存。</w:t>
      </w:r>
    </w:p>
    <w:p w:rsidR="007230CC" w:rsidRPr="007230CC" w:rsidRDefault="007230CC" w:rsidP="007230CC">
      <w:pPr>
        <w:pStyle w:val="a7"/>
        <w:ind w:firstLine="480"/>
        <w:rPr>
          <w:rFonts w:asciiTheme="minorEastAsia" w:eastAsiaTheme="minorEastAsia" w:hAnsiTheme="minorEastAsia"/>
          <w:sz w:val="28"/>
          <w:szCs w:val="28"/>
        </w:rPr>
      </w:pPr>
      <w:r w:rsidRPr="007230CC">
        <w:rPr>
          <w:rStyle w:val="a8"/>
          <w:rFonts w:asciiTheme="minorEastAsia" w:eastAsiaTheme="minorEastAsia" w:hAnsiTheme="minorEastAsia"/>
          <w:color w:val="004884"/>
          <w:sz w:val="28"/>
          <w:szCs w:val="28"/>
        </w:rPr>
        <w:t>七、加强收费和经费使用管理。</w:t>
      </w:r>
      <w:r w:rsidRPr="007230CC">
        <w:rPr>
          <w:rFonts w:asciiTheme="minorEastAsia" w:eastAsiaTheme="minorEastAsia" w:hAnsiTheme="minorEastAsia"/>
          <w:sz w:val="28"/>
          <w:szCs w:val="28"/>
        </w:rPr>
        <w:t>高校应将高等学历继续教育所有收入纳入学校预算，统一核算、统一管理，任何单位或个人不得隐瞒、截留、占用、挪用和坐支。高校不得授权或委托任何单位和个人代收费，不得超标准收费，严禁设点单位、校外教学点以任何名义搭车收</w:t>
      </w:r>
      <w:r w:rsidRPr="007230CC">
        <w:rPr>
          <w:rFonts w:asciiTheme="minorEastAsia" w:eastAsiaTheme="minorEastAsia" w:hAnsiTheme="minorEastAsia"/>
          <w:sz w:val="28"/>
          <w:szCs w:val="28"/>
        </w:rPr>
        <w:lastRenderedPageBreak/>
        <w:t>费。学费应全额直接上缴学校财务账户，严禁上缴前分配。高校拨付给设点单位的工作经费，原则上不超过其学生学费总额的一半。专兼职教师、辅导教师的课酬、劳务费等酬金统一由主办高校财务部门据实支付。国家开放大学校外教学点教师酬金由总部、分部财务部门分别据实支付。</w:t>
      </w:r>
    </w:p>
    <w:p w:rsidR="007230CC" w:rsidRPr="007230CC" w:rsidRDefault="007230CC" w:rsidP="007230CC">
      <w:pPr>
        <w:pStyle w:val="a7"/>
        <w:ind w:firstLine="480"/>
        <w:rPr>
          <w:rFonts w:asciiTheme="minorEastAsia" w:eastAsiaTheme="minorEastAsia" w:hAnsiTheme="minorEastAsia"/>
          <w:sz w:val="28"/>
          <w:szCs w:val="28"/>
        </w:rPr>
      </w:pPr>
      <w:r w:rsidRPr="007230CC">
        <w:rPr>
          <w:rStyle w:val="a8"/>
          <w:rFonts w:asciiTheme="minorEastAsia" w:eastAsiaTheme="minorEastAsia" w:hAnsiTheme="minorEastAsia"/>
          <w:color w:val="004884"/>
          <w:sz w:val="28"/>
          <w:szCs w:val="28"/>
        </w:rPr>
        <w:t>八、完善校外教学点分级管理体制。</w:t>
      </w:r>
      <w:r w:rsidRPr="007230CC">
        <w:rPr>
          <w:rFonts w:asciiTheme="minorEastAsia" w:eastAsiaTheme="minorEastAsia" w:hAnsiTheme="minorEastAsia"/>
          <w:sz w:val="28"/>
          <w:szCs w:val="28"/>
        </w:rPr>
        <w:t>教育部负责制定全国校外教学点的宏观管理政策，统筹指导全国校外教学点的设置与管理工作。省级教育行政部门负责本行政区域内校外教学点的管理政策制定、统筹规划、备案管理和监督检查；负责配合其他省级教育行政部门做好本地高校跨省设置校外教学点的有关工作。高校负责本校校外教学点的设置、调整与管理。设点单位负责配合高校做好校外教学点的日常管理。各地教育行政部门、高校要根据《校外教学点设置工作指引》（见附件），严格规范校外教学点设置工作。</w:t>
      </w:r>
    </w:p>
    <w:p w:rsidR="007230CC" w:rsidRPr="007230CC" w:rsidRDefault="007230CC" w:rsidP="007230CC">
      <w:pPr>
        <w:pStyle w:val="a7"/>
        <w:ind w:firstLine="480"/>
        <w:rPr>
          <w:rFonts w:asciiTheme="minorEastAsia" w:eastAsiaTheme="minorEastAsia" w:hAnsiTheme="minorEastAsia"/>
          <w:sz w:val="28"/>
          <w:szCs w:val="28"/>
        </w:rPr>
      </w:pPr>
      <w:r w:rsidRPr="007230CC">
        <w:rPr>
          <w:rStyle w:val="a8"/>
          <w:rFonts w:asciiTheme="minorEastAsia" w:eastAsiaTheme="minorEastAsia" w:hAnsiTheme="minorEastAsia"/>
          <w:color w:val="004884"/>
          <w:sz w:val="28"/>
          <w:szCs w:val="28"/>
        </w:rPr>
        <w:t>九、强化教育行政部门的监管职责。</w:t>
      </w:r>
      <w:r w:rsidRPr="007230CC">
        <w:rPr>
          <w:rFonts w:asciiTheme="minorEastAsia" w:eastAsiaTheme="minorEastAsia" w:hAnsiTheme="minorEastAsia"/>
          <w:sz w:val="28"/>
          <w:szCs w:val="28"/>
        </w:rPr>
        <w:t>省级教育行政部门要将校外教学点设置与管理工作纳入高等学历继续教育日常管理。各地可根据本省实际，进一步明确、细化本省校外教学点管理要求，对省域内每个设点单位承接的高校校外教学点数和开设的专业数等作出上限规定，对省域内校外教学点布局进行统筹规划。要对高校提交的校外教学点备案材料进行严格评议，重点关注程序是否规范、材料是否真实完整、办学条件是否达标、开设的专业与当地人才培养需求是否匹配等。对已备案的校外教学点，教育行政部门要加强日常监管和质量监测，组织开展常规检查、“双随机”抽检和专项评估，建立健全校外</w:t>
      </w:r>
      <w:r w:rsidRPr="007230CC">
        <w:rPr>
          <w:rFonts w:asciiTheme="minorEastAsia" w:eastAsiaTheme="minorEastAsia" w:hAnsiTheme="minorEastAsia"/>
          <w:sz w:val="28"/>
          <w:szCs w:val="28"/>
        </w:rPr>
        <w:lastRenderedPageBreak/>
        <w:t>教学点准入、评价、奖惩、退出和责任追究制度。要联合相关部门，严厉打击虚假宣传、买卖生源、代学替考等违法违规行为。各省级教育行政部门之间要建立“线上+线下”协同联动工作机制，开展联合惩戒。对校外教学点存在违规办学、点外设点、恶性抢夺生源、搭车收费牟利、教育质量低下、管理混乱无序、变相买卖文凭、履行职责不力等违法违规行为的，视情由省级教育行政部门或教育部给予高校通报批评、限期整顿、撤销校外教学点、责成高校暂停或停止学历继续教育招生等处罚，将相关设点单位列入“黑名单”，并追究相关责任人责任。</w:t>
      </w:r>
    </w:p>
    <w:p w:rsidR="007230CC" w:rsidRPr="007230CC" w:rsidRDefault="007230CC" w:rsidP="007230CC">
      <w:pPr>
        <w:pStyle w:val="a7"/>
        <w:ind w:firstLine="480"/>
        <w:rPr>
          <w:rFonts w:asciiTheme="minorEastAsia" w:eastAsiaTheme="minorEastAsia" w:hAnsiTheme="minorEastAsia"/>
          <w:sz w:val="28"/>
          <w:szCs w:val="28"/>
        </w:rPr>
      </w:pPr>
      <w:r w:rsidRPr="007230CC">
        <w:rPr>
          <w:rStyle w:val="a8"/>
          <w:rFonts w:asciiTheme="minorEastAsia" w:eastAsiaTheme="minorEastAsia" w:hAnsiTheme="minorEastAsia"/>
          <w:color w:val="004884"/>
          <w:sz w:val="28"/>
          <w:szCs w:val="28"/>
        </w:rPr>
        <w:t>十、加强组织实施。</w:t>
      </w:r>
      <w:r w:rsidRPr="007230CC">
        <w:rPr>
          <w:rFonts w:asciiTheme="minorEastAsia" w:eastAsiaTheme="minorEastAsia" w:hAnsiTheme="minorEastAsia"/>
          <w:sz w:val="28"/>
          <w:szCs w:val="28"/>
        </w:rPr>
        <w:t>本通知印发之日至2022年12月底，各地各高校暂停新增校外教学点，各省级教育行政部门组织对现有校外教学点的全面梳理、排查和整改。从2023年1月起，按照《校外教学点设置工作指引》开展校外教学点设置与备案工作。对本通知印发前各地已备案但不符合本通知要求的校外教学点，可从2023年起给予2年过渡期进行整改，过渡期间停止招收新生，但可为原有在籍学生提供学习支持服务。过渡期结束后，仍不符合有关要求、未完成重新备案的校外教学点应予以撤销，其在籍学生的学习支持服务由主办高校妥善处置。</w:t>
      </w:r>
    </w:p>
    <w:p w:rsidR="007230CC" w:rsidRPr="007230CC" w:rsidRDefault="007230CC" w:rsidP="007230CC">
      <w:pPr>
        <w:pStyle w:val="a7"/>
        <w:ind w:firstLine="480"/>
        <w:rPr>
          <w:rFonts w:asciiTheme="minorEastAsia" w:eastAsiaTheme="minorEastAsia" w:hAnsiTheme="minorEastAsia"/>
          <w:sz w:val="28"/>
          <w:szCs w:val="28"/>
        </w:rPr>
      </w:pPr>
      <w:r w:rsidRPr="007230CC">
        <w:rPr>
          <w:rFonts w:asciiTheme="minorEastAsia" w:eastAsiaTheme="minorEastAsia" w:hAnsiTheme="minorEastAsia"/>
          <w:sz w:val="28"/>
          <w:szCs w:val="28"/>
        </w:rPr>
        <w:t>附件：校外教学点设置工作指引</w:t>
      </w:r>
    </w:p>
    <w:p w:rsidR="007230CC" w:rsidRPr="007230CC" w:rsidRDefault="007230CC" w:rsidP="007230CC">
      <w:pPr>
        <w:pStyle w:val="a7"/>
        <w:ind w:firstLineChars="1850" w:firstLine="5180"/>
        <w:rPr>
          <w:rFonts w:asciiTheme="minorEastAsia" w:eastAsiaTheme="minorEastAsia" w:hAnsiTheme="minorEastAsia"/>
          <w:sz w:val="28"/>
          <w:szCs w:val="28"/>
        </w:rPr>
      </w:pPr>
      <w:r w:rsidRPr="007230CC">
        <w:rPr>
          <w:rFonts w:asciiTheme="minorEastAsia" w:eastAsiaTheme="minorEastAsia" w:hAnsiTheme="minorEastAsia"/>
          <w:sz w:val="28"/>
          <w:szCs w:val="28"/>
        </w:rPr>
        <w:t>教育部办公厅</w:t>
      </w:r>
    </w:p>
    <w:p w:rsidR="007230CC" w:rsidRPr="007230CC" w:rsidRDefault="007230CC" w:rsidP="007230CC">
      <w:pPr>
        <w:pStyle w:val="a7"/>
        <w:ind w:firstLineChars="1750" w:firstLine="4900"/>
        <w:rPr>
          <w:rFonts w:asciiTheme="minorEastAsia" w:eastAsiaTheme="minorEastAsia" w:hAnsiTheme="minorEastAsia"/>
          <w:sz w:val="28"/>
          <w:szCs w:val="28"/>
        </w:rPr>
      </w:pPr>
      <w:r w:rsidRPr="007230CC">
        <w:rPr>
          <w:rFonts w:asciiTheme="minorEastAsia" w:eastAsiaTheme="minorEastAsia" w:hAnsiTheme="minorEastAsia"/>
          <w:sz w:val="28"/>
          <w:szCs w:val="28"/>
        </w:rPr>
        <w:t>2022年4月8日</w:t>
      </w:r>
    </w:p>
    <w:sectPr w:rsidR="007230CC" w:rsidRPr="007230CC" w:rsidSect="004A692C">
      <w:pgSz w:w="11906" w:h="16838"/>
      <w:pgMar w:top="1440" w:right="1797" w:bottom="873"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D4F" w:rsidRDefault="004F2D4F" w:rsidP="0046539E">
      <w:pPr>
        <w:spacing w:line="240" w:lineRule="auto"/>
      </w:pPr>
      <w:r>
        <w:separator/>
      </w:r>
    </w:p>
  </w:endnote>
  <w:endnote w:type="continuationSeparator" w:id="0">
    <w:p w:rsidR="004F2D4F" w:rsidRDefault="004F2D4F" w:rsidP="00465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D4F" w:rsidRDefault="004F2D4F" w:rsidP="0046539E">
      <w:pPr>
        <w:spacing w:line="240" w:lineRule="auto"/>
      </w:pPr>
      <w:r>
        <w:separator/>
      </w:r>
    </w:p>
  </w:footnote>
  <w:footnote w:type="continuationSeparator" w:id="0">
    <w:p w:rsidR="004F2D4F" w:rsidRDefault="004F2D4F" w:rsidP="0046539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9A"/>
    <w:rsid w:val="000A1B17"/>
    <w:rsid w:val="000E17ED"/>
    <w:rsid w:val="001B5C95"/>
    <w:rsid w:val="00290C3C"/>
    <w:rsid w:val="002B4693"/>
    <w:rsid w:val="00302334"/>
    <w:rsid w:val="00360F4B"/>
    <w:rsid w:val="00390850"/>
    <w:rsid w:val="003D60BA"/>
    <w:rsid w:val="00432AC7"/>
    <w:rsid w:val="0046539E"/>
    <w:rsid w:val="00494896"/>
    <w:rsid w:val="004A692C"/>
    <w:rsid w:val="004F2D4F"/>
    <w:rsid w:val="004F3767"/>
    <w:rsid w:val="005016FD"/>
    <w:rsid w:val="00514A86"/>
    <w:rsid w:val="0058471D"/>
    <w:rsid w:val="005A748E"/>
    <w:rsid w:val="005F650E"/>
    <w:rsid w:val="00624255"/>
    <w:rsid w:val="0065000C"/>
    <w:rsid w:val="006571B7"/>
    <w:rsid w:val="006946D6"/>
    <w:rsid w:val="0071044C"/>
    <w:rsid w:val="007230CC"/>
    <w:rsid w:val="007846D0"/>
    <w:rsid w:val="007A6679"/>
    <w:rsid w:val="00894D02"/>
    <w:rsid w:val="008C111D"/>
    <w:rsid w:val="0091009A"/>
    <w:rsid w:val="00920ABC"/>
    <w:rsid w:val="0094795B"/>
    <w:rsid w:val="00950DBF"/>
    <w:rsid w:val="00951D93"/>
    <w:rsid w:val="009A1D49"/>
    <w:rsid w:val="009C0624"/>
    <w:rsid w:val="00A732AE"/>
    <w:rsid w:val="00A8645B"/>
    <w:rsid w:val="00AC1BD0"/>
    <w:rsid w:val="00B50BA1"/>
    <w:rsid w:val="00BC343A"/>
    <w:rsid w:val="00BC4409"/>
    <w:rsid w:val="00C72192"/>
    <w:rsid w:val="00C81486"/>
    <w:rsid w:val="00CB0F54"/>
    <w:rsid w:val="00DB1E19"/>
    <w:rsid w:val="00E214B1"/>
    <w:rsid w:val="00E5005A"/>
    <w:rsid w:val="00E60043"/>
    <w:rsid w:val="00EA7E39"/>
    <w:rsid w:val="00EB34ED"/>
    <w:rsid w:val="00F116A8"/>
    <w:rsid w:val="00F131C5"/>
    <w:rsid w:val="00F57BFB"/>
    <w:rsid w:val="00F80AE3"/>
    <w:rsid w:val="00FB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17"/>
    <w:pPr>
      <w:widowControl w:val="0"/>
      <w:spacing w:line="580" w:lineRule="exact"/>
      <w:jc w:val="both"/>
    </w:pPr>
    <w:rPr>
      <w:rFonts w:ascii="Calibri" w:eastAsia="宋体" w:hAnsi="Calibri" w:cs="Times New Roman"/>
    </w:rPr>
  </w:style>
  <w:style w:type="paragraph" w:styleId="2">
    <w:name w:val="heading 2"/>
    <w:basedOn w:val="a"/>
    <w:next w:val="a"/>
    <w:link w:val="2Char"/>
    <w:uiPriority w:val="9"/>
    <w:unhideWhenUsed/>
    <w:qFormat/>
    <w:rsid w:val="0049489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94896"/>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9489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94896"/>
    <w:rPr>
      <w:b/>
      <w:bCs/>
      <w:sz w:val="32"/>
      <w:szCs w:val="32"/>
    </w:rPr>
  </w:style>
  <w:style w:type="paragraph" w:styleId="a3">
    <w:name w:val="Balloon Text"/>
    <w:basedOn w:val="a"/>
    <w:link w:val="Char"/>
    <w:uiPriority w:val="99"/>
    <w:semiHidden/>
    <w:unhideWhenUsed/>
    <w:rsid w:val="00302334"/>
    <w:pPr>
      <w:spacing w:line="240" w:lineRule="auto"/>
    </w:pPr>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302334"/>
    <w:rPr>
      <w:sz w:val="18"/>
      <w:szCs w:val="18"/>
    </w:rPr>
  </w:style>
  <w:style w:type="character" w:customStyle="1" w:styleId="bjh-p">
    <w:name w:val="bjh-p"/>
    <w:basedOn w:val="a0"/>
    <w:rsid w:val="00F57BFB"/>
  </w:style>
  <w:style w:type="table" w:styleId="a4">
    <w:name w:val="Table Grid"/>
    <w:basedOn w:val="a1"/>
    <w:uiPriority w:val="59"/>
    <w:rsid w:val="00465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46539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46539E"/>
    <w:rPr>
      <w:rFonts w:ascii="Calibri" w:eastAsia="宋体" w:hAnsi="Calibri" w:cs="Times New Roman"/>
      <w:sz w:val="18"/>
      <w:szCs w:val="18"/>
    </w:rPr>
  </w:style>
  <w:style w:type="paragraph" w:styleId="a6">
    <w:name w:val="footer"/>
    <w:basedOn w:val="a"/>
    <w:link w:val="Char1"/>
    <w:uiPriority w:val="99"/>
    <w:unhideWhenUsed/>
    <w:rsid w:val="0046539E"/>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46539E"/>
    <w:rPr>
      <w:rFonts w:ascii="Calibri" w:eastAsia="宋体" w:hAnsi="Calibri" w:cs="Times New Roman"/>
      <w:sz w:val="18"/>
      <w:szCs w:val="18"/>
    </w:rPr>
  </w:style>
  <w:style w:type="paragraph" w:styleId="a7">
    <w:name w:val="Normal (Web)"/>
    <w:basedOn w:val="a"/>
    <w:uiPriority w:val="99"/>
    <w:semiHidden/>
    <w:unhideWhenUsed/>
    <w:rsid w:val="007230CC"/>
    <w:pPr>
      <w:widowControl/>
      <w:spacing w:before="100" w:beforeAutospacing="1" w:after="100" w:afterAutospacing="1" w:line="240" w:lineRule="auto"/>
      <w:jc w:val="left"/>
    </w:pPr>
    <w:rPr>
      <w:rFonts w:ascii="宋体" w:hAnsi="宋体" w:cs="宋体"/>
      <w:kern w:val="0"/>
      <w:sz w:val="24"/>
      <w:szCs w:val="24"/>
    </w:rPr>
  </w:style>
  <w:style w:type="character" w:styleId="a8">
    <w:name w:val="Strong"/>
    <w:basedOn w:val="a0"/>
    <w:uiPriority w:val="22"/>
    <w:qFormat/>
    <w:rsid w:val="007230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17"/>
    <w:pPr>
      <w:widowControl w:val="0"/>
      <w:spacing w:line="580" w:lineRule="exact"/>
      <w:jc w:val="both"/>
    </w:pPr>
    <w:rPr>
      <w:rFonts w:ascii="Calibri" w:eastAsia="宋体" w:hAnsi="Calibri" w:cs="Times New Roman"/>
    </w:rPr>
  </w:style>
  <w:style w:type="paragraph" w:styleId="2">
    <w:name w:val="heading 2"/>
    <w:basedOn w:val="a"/>
    <w:next w:val="a"/>
    <w:link w:val="2Char"/>
    <w:uiPriority w:val="9"/>
    <w:unhideWhenUsed/>
    <w:qFormat/>
    <w:rsid w:val="0049489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94896"/>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9489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94896"/>
    <w:rPr>
      <w:b/>
      <w:bCs/>
      <w:sz w:val="32"/>
      <w:szCs w:val="32"/>
    </w:rPr>
  </w:style>
  <w:style w:type="paragraph" w:styleId="a3">
    <w:name w:val="Balloon Text"/>
    <w:basedOn w:val="a"/>
    <w:link w:val="Char"/>
    <w:uiPriority w:val="99"/>
    <w:semiHidden/>
    <w:unhideWhenUsed/>
    <w:rsid w:val="00302334"/>
    <w:pPr>
      <w:spacing w:line="240" w:lineRule="auto"/>
    </w:pPr>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302334"/>
    <w:rPr>
      <w:sz w:val="18"/>
      <w:szCs w:val="18"/>
    </w:rPr>
  </w:style>
  <w:style w:type="character" w:customStyle="1" w:styleId="bjh-p">
    <w:name w:val="bjh-p"/>
    <w:basedOn w:val="a0"/>
    <w:rsid w:val="00F57BFB"/>
  </w:style>
  <w:style w:type="table" w:styleId="a4">
    <w:name w:val="Table Grid"/>
    <w:basedOn w:val="a1"/>
    <w:uiPriority w:val="59"/>
    <w:rsid w:val="00465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46539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46539E"/>
    <w:rPr>
      <w:rFonts w:ascii="Calibri" w:eastAsia="宋体" w:hAnsi="Calibri" w:cs="Times New Roman"/>
      <w:sz w:val="18"/>
      <w:szCs w:val="18"/>
    </w:rPr>
  </w:style>
  <w:style w:type="paragraph" w:styleId="a6">
    <w:name w:val="footer"/>
    <w:basedOn w:val="a"/>
    <w:link w:val="Char1"/>
    <w:uiPriority w:val="99"/>
    <w:unhideWhenUsed/>
    <w:rsid w:val="0046539E"/>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46539E"/>
    <w:rPr>
      <w:rFonts w:ascii="Calibri" w:eastAsia="宋体" w:hAnsi="Calibri" w:cs="Times New Roman"/>
      <w:sz w:val="18"/>
      <w:szCs w:val="18"/>
    </w:rPr>
  </w:style>
  <w:style w:type="paragraph" w:styleId="a7">
    <w:name w:val="Normal (Web)"/>
    <w:basedOn w:val="a"/>
    <w:uiPriority w:val="99"/>
    <w:semiHidden/>
    <w:unhideWhenUsed/>
    <w:rsid w:val="007230CC"/>
    <w:pPr>
      <w:widowControl/>
      <w:spacing w:before="100" w:beforeAutospacing="1" w:after="100" w:afterAutospacing="1" w:line="240" w:lineRule="auto"/>
      <w:jc w:val="left"/>
    </w:pPr>
    <w:rPr>
      <w:rFonts w:ascii="宋体" w:hAnsi="宋体" w:cs="宋体"/>
      <w:kern w:val="0"/>
      <w:sz w:val="24"/>
      <w:szCs w:val="24"/>
    </w:rPr>
  </w:style>
  <w:style w:type="character" w:styleId="a8">
    <w:name w:val="Strong"/>
    <w:basedOn w:val="a0"/>
    <w:uiPriority w:val="22"/>
    <w:qFormat/>
    <w:rsid w:val="007230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43852">
      <w:bodyDiv w:val="1"/>
      <w:marLeft w:val="0"/>
      <w:marRight w:val="0"/>
      <w:marTop w:val="0"/>
      <w:marBottom w:val="0"/>
      <w:divBdr>
        <w:top w:val="none" w:sz="0" w:space="0" w:color="auto"/>
        <w:left w:val="none" w:sz="0" w:space="0" w:color="auto"/>
        <w:bottom w:val="none" w:sz="0" w:space="0" w:color="auto"/>
        <w:right w:val="none" w:sz="0" w:space="0" w:color="auto"/>
      </w:divBdr>
      <w:divsChild>
        <w:div w:id="364410556">
          <w:marLeft w:val="0"/>
          <w:marRight w:val="0"/>
          <w:marTop w:val="0"/>
          <w:marBottom w:val="0"/>
          <w:divBdr>
            <w:top w:val="none" w:sz="0" w:space="0" w:color="auto"/>
            <w:left w:val="none" w:sz="0" w:space="0" w:color="auto"/>
            <w:bottom w:val="none" w:sz="0" w:space="0" w:color="auto"/>
            <w:right w:val="none" w:sz="0" w:space="0" w:color="auto"/>
          </w:divBdr>
        </w:div>
        <w:div w:id="1203833914">
          <w:marLeft w:val="0"/>
          <w:marRight w:val="0"/>
          <w:marTop w:val="0"/>
          <w:marBottom w:val="0"/>
          <w:divBdr>
            <w:top w:val="none" w:sz="0" w:space="0" w:color="auto"/>
            <w:left w:val="none" w:sz="0" w:space="0" w:color="auto"/>
            <w:bottom w:val="none" w:sz="0" w:space="0" w:color="auto"/>
            <w:right w:val="none" w:sz="0" w:space="0" w:color="auto"/>
          </w:divBdr>
        </w:div>
        <w:div w:id="308947429">
          <w:marLeft w:val="0"/>
          <w:marRight w:val="0"/>
          <w:marTop w:val="0"/>
          <w:marBottom w:val="0"/>
          <w:divBdr>
            <w:top w:val="none" w:sz="0" w:space="0" w:color="auto"/>
            <w:left w:val="none" w:sz="0" w:space="0" w:color="auto"/>
            <w:bottom w:val="none" w:sz="0" w:space="0" w:color="auto"/>
            <w:right w:val="none" w:sz="0" w:space="0" w:color="auto"/>
          </w:divBdr>
        </w:div>
        <w:div w:id="1072777068">
          <w:marLeft w:val="0"/>
          <w:marRight w:val="0"/>
          <w:marTop w:val="0"/>
          <w:marBottom w:val="0"/>
          <w:divBdr>
            <w:top w:val="none" w:sz="0" w:space="0" w:color="auto"/>
            <w:left w:val="none" w:sz="0" w:space="0" w:color="auto"/>
            <w:bottom w:val="none" w:sz="0" w:space="0" w:color="auto"/>
            <w:right w:val="none" w:sz="0" w:space="0" w:color="auto"/>
          </w:divBdr>
        </w:div>
        <w:div w:id="324669780">
          <w:marLeft w:val="0"/>
          <w:marRight w:val="0"/>
          <w:marTop w:val="0"/>
          <w:marBottom w:val="0"/>
          <w:divBdr>
            <w:top w:val="none" w:sz="0" w:space="0" w:color="auto"/>
            <w:left w:val="none" w:sz="0" w:space="0" w:color="auto"/>
            <w:bottom w:val="none" w:sz="0" w:space="0" w:color="auto"/>
            <w:right w:val="none" w:sz="0" w:space="0" w:color="auto"/>
          </w:divBdr>
        </w:div>
        <w:div w:id="1962684150">
          <w:marLeft w:val="0"/>
          <w:marRight w:val="0"/>
          <w:marTop w:val="0"/>
          <w:marBottom w:val="0"/>
          <w:divBdr>
            <w:top w:val="none" w:sz="0" w:space="0" w:color="auto"/>
            <w:left w:val="none" w:sz="0" w:space="0" w:color="auto"/>
            <w:bottom w:val="none" w:sz="0" w:space="0" w:color="auto"/>
            <w:right w:val="none" w:sz="0" w:space="0" w:color="auto"/>
          </w:divBdr>
          <w:divsChild>
            <w:div w:id="1438212947">
              <w:marLeft w:val="0"/>
              <w:marRight w:val="0"/>
              <w:marTop w:val="0"/>
              <w:marBottom w:val="0"/>
              <w:divBdr>
                <w:top w:val="none" w:sz="0" w:space="0" w:color="auto"/>
                <w:left w:val="none" w:sz="0" w:space="0" w:color="auto"/>
                <w:bottom w:val="none" w:sz="0" w:space="0" w:color="auto"/>
                <w:right w:val="none" w:sz="0" w:space="0" w:color="auto"/>
              </w:divBdr>
            </w:div>
            <w:div w:id="4029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71423">
      <w:bodyDiv w:val="1"/>
      <w:marLeft w:val="0"/>
      <w:marRight w:val="0"/>
      <w:marTop w:val="0"/>
      <w:marBottom w:val="0"/>
      <w:divBdr>
        <w:top w:val="none" w:sz="0" w:space="0" w:color="auto"/>
        <w:left w:val="none" w:sz="0" w:space="0" w:color="auto"/>
        <w:bottom w:val="none" w:sz="0" w:space="0" w:color="auto"/>
        <w:right w:val="none" w:sz="0" w:space="0" w:color="auto"/>
      </w:divBdr>
      <w:divsChild>
        <w:div w:id="915476286">
          <w:marLeft w:val="0"/>
          <w:marRight w:val="0"/>
          <w:marTop w:val="0"/>
          <w:marBottom w:val="0"/>
          <w:divBdr>
            <w:top w:val="none" w:sz="0" w:space="0" w:color="auto"/>
            <w:left w:val="none" w:sz="0" w:space="0" w:color="auto"/>
            <w:bottom w:val="none" w:sz="0" w:space="0" w:color="auto"/>
            <w:right w:val="none" w:sz="0" w:space="0" w:color="auto"/>
          </w:divBdr>
          <w:divsChild>
            <w:div w:id="16958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33533">
      <w:bodyDiv w:val="1"/>
      <w:marLeft w:val="0"/>
      <w:marRight w:val="0"/>
      <w:marTop w:val="0"/>
      <w:marBottom w:val="0"/>
      <w:divBdr>
        <w:top w:val="none" w:sz="0" w:space="0" w:color="auto"/>
        <w:left w:val="none" w:sz="0" w:space="0" w:color="auto"/>
        <w:bottom w:val="none" w:sz="0" w:space="0" w:color="auto"/>
        <w:right w:val="none" w:sz="0" w:space="0" w:color="auto"/>
      </w:divBdr>
      <w:divsChild>
        <w:div w:id="2088064874">
          <w:marLeft w:val="0"/>
          <w:marRight w:val="0"/>
          <w:marTop w:val="0"/>
          <w:marBottom w:val="0"/>
          <w:divBdr>
            <w:top w:val="none" w:sz="0" w:space="0" w:color="auto"/>
            <w:left w:val="none" w:sz="0" w:space="0" w:color="auto"/>
            <w:bottom w:val="none" w:sz="0" w:space="0" w:color="auto"/>
            <w:right w:val="none" w:sz="0" w:space="0" w:color="auto"/>
          </w:divBdr>
        </w:div>
        <w:div w:id="222831995">
          <w:marLeft w:val="0"/>
          <w:marRight w:val="0"/>
          <w:marTop w:val="0"/>
          <w:marBottom w:val="0"/>
          <w:divBdr>
            <w:top w:val="none" w:sz="0" w:space="0" w:color="auto"/>
            <w:left w:val="none" w:sz="0" w:space="0" w:color="auto"/>
            <w:bottom w:val="none" w:sz="0" w:space="0" w:color="auto"/>
            <w:right w:val="none" w:sz="0" w:space="0" w:color="auto"/>
          </w:divBdr>
        </w:div>
        <w:div w:id="62332852">
          <w:marLeft w:val="0"/>
          <w:marRight w:val="0"/>
          <w:marTop w:val="0"/>
          <w:marBottom w:val="0"/>
          <w:divBdr>
            <w:top w:val="none" w:sz="0" w:space="0" w:color="auto"/>
            <w:left w:val="none" w:sz="0" w:space="0" w:color="auto"/>
            <w:bottom w:val="none" w:sz="0" w:space="0" w:color="auto"/>
            <w:right w:val="none" w:sz="0" w:space="0" w:color="auto"/>
          </w:divBdr>
        </w:div>
        <w:div w:id="764768960">
          <w:marLeft w:val="0"/>
          <w:marRight w:val="0"/>
          <w:marTop w:val="0"/>
          <w:marBottom w:val="0"/>
          <w:divBdr>
            <w:top w:val="none" w:sz="0" w:space="0" w:color="auto"/>
            <w:left w:val="none" w:sz="0" w:space="0" w:color="auto"/>
            <w:bottom w:val="none" w:sz="0" w:space="0" w:color="auto"/>
            <w:right w:val="none" w:sz="0" w:space="0" w:color="auto"/>
          </w:divBdr>
          <w:divsChild>
            <w:div w:id="1625883385">
              <w:marLeft w:val="0"/>
              <w:marRight w:val="0"/>
              <w:marTop w:val="0"/>
              <w:marBottom w:val="0"/>
              <w:divBdr>
                <w:top w:val="none" w:sz="0" w:space="0" w:color="auto"/>
                <w:left w:val="none" w:sz="0" w:space="0" w:color="auto"/>
                <w:bottom w:val="none" w:sz="0" w:space="0" w:color="auto"/>
                <w:right w:val="none" w:sz="0" w:space="0" w:color="auto"/>
              </w:divBdr>
            </w:div>
            <w:div w:id="6183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7770">
      <w:bodyDiv w:val="1"/>
      <w:marLeft w:val="0"/>
      <w:marRight w:val="0"/>
      <w:marTop w:val="0"/>
      <w:marBottom w:val="0"/>
      <w:divBdr>
        <w:top w:val="none" w:sz="0" w:space="0" w:color="auto"/>
        <w:left w:val="none" w:sz="0" w:space="0" w:color="auto"/>
        <w:bottom w:val="none" w:sz="0" w:space="0" w:color="auto"/>
        <w:right w:val="none" w:sz="0" w:space="0" w:color="auto"/>
      </w:divBdr>
      <w:divsChild>
        <w:div w:id="798035711">
          <w:marLeft w:val="0"/>
          <w:marRight w:val="0"/>
          <w:marTop w:val="0"/>
          <w:marBottom w:val="0"/>
          <w:divBdr>
            <w:top w:val="none" w:sz="0" w:space="0" w:color="auto"/>
            <w:left w:val="none" w:sz="0" w:space="0" w:color="auto"/>
            <w:bottom w:val="none" w:sz="0" w:space="0" w:color="auto"/>
            <w:right w:val="none" w:sz="0" w:space="0" w:color="auto"/>
          </w:divBdr>
        </w:div>
        <w:div w:id="1457333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cp:lastPrinted>2022-03-30T01:59:00Z</cp:lastPrinted>
  <dcterms:created xsi:type="dcterms:W3CDTF">2022-04-25T01:15:00Z</dcterms:created>
  <dcterms:modified xsi:type="dcterms:W3CDTF">2022-04-25T01:15:00Z</dcterms:modified>
</cp:coreProperties>
</file>