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7473" w:rsidRPr="00DE5965" w:rsidRDefault="00A24E7E" w:rsidP="00587473">
      <w:pPr>
        <w:pStyle w:val="2"/>
        <w:adjustRightInd w:val="0"/>
        <w:snapToGrid w:val="0"/>
        <w:spacing w:before="0" w:after="0" w:line="560" w:lineRule="exact"/>
        <w:jc w:val="left"/>
        <w:rPr>
          <w:rFonts w:ascii="楷体" w:eastAsia="楷体" w:hAnsi="楷体" w:cs="楷体"/>
          <w:b w:val="0"/>
          <w:bCs w:val="0"/>
          <w:sz w:val="28"/>
          <w:szCs w:val="28"/>
        </w:rPr>
      </w:pPr>
      <w:bookmarkStart w:id="0" w:name="_Toc24735"/>
      <w:r>
        <w:rPr>
          <w:rFonts w:ascii="楷体" w:eastAsia="楷体" w:hAnsi="楷体" w:cs="楷体" w:hint="eastAsia"/>
          <w:b w:val="0"/>
          <w:sz w:val="28"/>
          <w:szCs w:val="28"/>
        </w:rPr>
        <w:t>湖南广播电视大学</w:t>
      </w:r>
      <w:r w:rsidR="00587473" w:rsidRPr="00DE5965">
        <w:rPr>
          <w:rFonts w:ascii="楷体" w:eastAsia="楷体" w:hAnsi="楷体" w:cs="楷体" w:hint="eastAsia"/>
          <w:b w:val="0"/>
          <w:sz w:val="28"/>
          <w:szCs w:val="28"/>
        </w:rPr>
        <w:t>特色案例：</w:t>
      </w:r>
      <w:bookmarkEnd w:id="0"/>
    </w:p>
    <w:p w:rsidR="00587473" w:rsidRPr="00DE5965" w:rsidRDefault="00587473" w:rsidP="00587473">
      <w:pPr>
        <w:pStyle w:val="2"/>
        <w:adjustRightInd w:val="0"/>
        <w:snapToGrid w:val="0"/>
        <w:spacing w:before="0" w:after="0" w:line="560" w:lineRule="exact"/>
        <w:jc w:val="left"/>
        <w:rPr>
          <w:rFonts w:ascii="仿宋" w:eastAsia="仿宋" w:hAnsi="仿宋" w:cs="仿宋"/>
          <w:bCs w:val="0"/>
          <w:sz w:val="28"/>
          <w:szCs w:val="28"/>
        </w:rPr>
      </w:pPr>
      <w:bookmarkStart w:id="1" w:name="_Toc30825"/>
      <w:r w:rsidRPr="00DE5965">
        <w:rPr>
          <w:rFonts w:ascii="楷体_GB2312" w:eastAsia="楷体_GB2312" w:hAnsi="楷体_GB2312" w:cs="楷体_GB2312" w:hint="eastAsia"/>
          <w:sz w:val="30"/>
          <w:szCs w:val="30"/>
        </w:rPr>
        <w:t>【案例1】</w:t>
      </w:r>
      <w:bookmarkEnd w:id="1"/>
      <w:r w:rsidRPr="00DE5965">
        <w:rPr>
          <w:rFonts w:ascii="楷体_GB2312" w:eastAsia="楷体_GB2312" w:hAnsi="楷体_GB2312" w:cs="楷体_GB2312" w:hint="eastAsia"/>
          <w:sz w:val="30"/>
          <w:szCs w:val="30"/>
        </w:rPr>
        <w:t xml:space="preserve">            </w:t>
      </w:r>
      <w:r w:rsidRPr="00DE5965">
        <w:rPr>
          <w:rFonts w:ascii="微软雅黑" w:eastAsia="微软雅黑" w:hAnsi="微软雅黑" w:cs="微软雅黑" w:hint="eastAsia"/>
          <w:sz w:val="28"/>
          <w:szCs w:val="28"/>
        </w:rPr>
        <w:t>大爱在心、至善在行</w:t>
      </w:r>
    </w:p>
    <w:p w:rsidR="00587473" w:rsidRPr="00DE5965" w:rsidRDefault="00587473" w:rsidP="00587473">
      <w:pPr>
        <w:adjustRightInd w:val="0"/>
        <w:snapToGrid w:val="0"/>
        <w:spacing w:line="540" w:lineRule="exact"/>
        <w:jc w:val="center"/>
        <w:rPr>
          <w:rFonts w:ascii="仿宋" w:eastAsia="仿宋" w:hAnsi="仿宋" w:cs="仿宋"/>
          <w:b/>
          <w:bCs/>
          <w:sz w:val="28"/>
          <w:szCs w:val="28"/>
        </w:rPr>
      </w:pPr>
      <w:r w:rsidRPr="00DE5965">
        <w:rPr>
          <w:rFonts w:ascii="仿宋" w:eastAsia="仿宋" w:hAnsi="仿宋" w:cs="仿宋" w:hint="eastAsia"/>
          <w:b/>
          <w:bCs/>
          <w:sz w:val="28"/>
          <w:szCs w:val="28"/>
        </w:rPr>
        <w:t>——</w:t>
      </w:r>
      <w:r w:rsidR="00666757">
        <w:rPr>
          <w:rFonts w:ascii="仿宋" w:eastAsia="仿宋" w:hAnsi="仿宋" w:cs="仿宋" w:hint="eastAsia"/>
          <w:b/>
          <w:bCs/>
          <w:sz w:val="28"/>
          <w:szCs w:val="28"/>
        </w:rPr>
        <w:t>湖南广播电视大学</w:t>
      </w:r>
      <w:r w:rsidRPr="00DE5965">
        <w:rPr>
          <w:rFonts w:ascii="仿宋" w:eastAsia="仿宋" w:hAnsi="仿宋" w:cs="仿宋" w:hint="eastAsia"/>
          <w:b/>
          <w:bCs/>
          <w:sz w:val="28"/>
          <w:szCs w:val="28"/>
        </w:rPr>
        <w:t>教师热心社会公益服务</w:t>
      </w:r>
    </w:p>
    <w:p w:rsidR="00587473" w:rsidRPr="00DE5965" w:rsidRDefault="00587473" w:rsidP="00587473">
      <w:pPr>
        <w:adjustRightInd w:val="0"/>
        <w:snapToGrid w:val="0"/>
        <w:spacing w:line="540" w:lineRule="exact"/>
        <w:ind w:firstLineChars="200" w:firstLine="560"/>
      </w:pPr>
      <w:r w:rsidRPr="00DE5965">
        <w:rPr>
          <w:rFonts w:ascii="仿宋" w:eastAsia="仿宋" w:hAnsi="仿宋" w:cs="仿宋" w:hint="eastAsia"/>
          <w:sz w:val="28"/>
          <w:szCs w:val="28"/>
        </w:rPr>
        <w:t>谭伟(笔名石潭)副教授系湖南广播电视大学艺术设计专业教师，自2002年以来一直担任开放教育素描、UI设计、陈设艺术设计和广告设计等课程教学工作，近年来致力于水墨肖像画研究和创作，其作品通过网络传播在社会与业界获得了较大范围的认同与众多欣赏者，虽然他家庭经济状况只能算中等水平，但他热爱自己的教育事业、热爱学生、热爱社会公益事业。2019年11月谭伟(石潭)捐赠的艺术作品，水墨人物画《大佬食瓜图》，在“十五少年未来可期——阿拉善SEE生态协会十五周年公益之夜”的慈善拍卖活动中，获得此次拍卖活动艺术品拍卖价格最高者，三十五万元公益善款。2019年12月谭伟(石潭)受邀参加名人荟萃的《仼志强木作艺术展》开幕式，在盛大的开幕酒会上，谭伟捐赠的作品——水墨人物肖像画《知行》《老任与小潘》两幅拍得共七十万元。作品分别由著名企业家潘石屹先生和新东方创始人余洪敏先生拍得并收藏。2018年九幅《名人水墨肖像》共拍一百二十万元善款。至2019年至，因谭伟个人作品为阿拉善SEE生态协会公益组织共拍得二百二十五万元善款。</w:t>
      </w:r>
    </w:p>
    <w:p w:rsidR="00587473" w:rsidRPr="00DE5965" w:rsidRDefault="00587473" w:rsidP="00587473">
      <w:pPr>
        <w:jc w:val="center"/>
      </w:pPr>
      <w:r w:rsidRPr="00DE5965">
        <w:rPr>
          <w:noProof/>
        </w:rPr>
        <w:drawing>
          <wp:inline distT="0" distB="0" distL="114300" distR="114300">
            <wp:extent cx="4209415" cy="2160270"/>
            <wp:effectExtent l="9525" t="9525" r="10160" b="2095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preferRelativeResize="0">
                      <a:picLocks noChangeAspect="1"/>
                    </pic:cNvPicPr>
                  </pic:nvPicPr>
                  <pic:blipFill>
                    <a:blip r:embed="rId6" cstate="print"/>
                    <a:stretch>
                      <a:fillRect/>
                    </a:stretch>
                  </pic:blipFill>
                  <pic:spPr>
                    <a:xfrm>
                      <a:off x="0" y="0"/>
                      <a:ext cx="4209415" cy="2160270"/>
                    </a:xfrm>
                    <a:prstGeom prst="rect">
                      <a:avLst/>
                    </a:prstGeom>
                    <a:noFill/>
                    <a:ln w="9525" cap="flat" cmpd="sng">
                      <a:solidFill>
                        <a:srgbClr val="8EB4E3"/>
                      </a:solidFill>
                      <a:prstDash val="solid"/>
                      <a:miter/>
                      <a:headEnd type="none" w="med" len="med"/>
                      <a:tailEnd type="none" w="med" len="med"/>
                    </a:ln>
                  </pic:spPr>
                </pic:pic>
              </a:graphicData>
            </a:graphic>
          </wp:inline>
        </w:drawing>
      </w:r>
    </w:p>
    <w:p w:rsidR="00587473" w:rsidRPr="00DE5965" w:rsidRDefault="00587473" w:rsidP="00587473">
      <w:pPr>
        <w:jc w:val="center"/>
      </w:pPr>
      <w:r w:rsidRPr="00DE5965">
        <w:rPr>
          <w:rFonts w:hint="eastAsia"/>
        </w:rPr>
        <w:t>慈善拍卖现场图</w:t>
      </w:r>
    </w:p>
    <w:p w:rsidR="00587473" w:rsidRPr="00DE5965" w:rsidRDefault="00587473" w:rsidP="00587473">
      <w:pPr>
        <w:tabs>
          <w:tab w:val="left" w:pos="321"/>
        </w:tabs>
        <w:adjustRightInd w:val="0"/>
        <w:snapToGrid w:val="0"/>
        <w:spacing w:line="360" w:lineRule="auto"/>
        <w:outlineLvl w:val="1"/>
        <w:rPr>
          <w:rFonts w:ascii="微软雅黑" w:eastAsia="微软雅黑" w:hAnsi="微软雅黑" w:cs="微软雅黑"/>
          <w:b/>
          <w:bCs/>
          <w:sz w:val="28"/>
          <w:szCs w:val="28"/>
        </w:rPr>
      </w:pPr>
      <w:r w:rsidRPr="00DE5965">
        <w:rPr>
          <w:rFonts w:ascii="楷体_GB2312" w:eastAsia="楷体_GB2312" w:hAnsi="楷体_GB2312" w:cs="楷体_GB2312" w:hint="eastAsia"/>
          <w:sz w:val="30"/>
          <w:szCs w:val="30"/>
        </w:rPr>
        <w:lastRenderedPageBreak/>
        <w:t xml:space="preserve">【案例2】      </w:t>
      </w:r>
      <w:r w:rsidR="00151B1C">
        <w:rPr>
          <w:rFonts w:ascii="楷体_GB2312" w:eastAsia="楷体_GB2312" w:hAnsi="楷体_GB2312" w:cs="楷体_GB2312" w:hint="eastAsia"/>
          <w:sz w:val="30"/>
          <w:szCs w:val="30"/>
        </w:rPr>
        <w:t xml:space="preserve">     </w:t>
      </w:r>
      <w:r w:rsidRPr="00DE5965">
        <w:rPr>
          <w:rFonts w:ascii="楷体_GB2312" w:eastAsia="楷体_GB2312" w:hAnsi="楷体_GB2312" w:cs="楷体_GB2312" w:hint="eastAsia"/>
          <w:sz w:val="30"/>
          <w:szCs w:val="30"/>
        </w:rPr>
        <w:t xml:space="preserve"> </w:t>
      </w:r>
      <w:r w:rsidRPr="00DE5965">
        <w:rPr>
          <w:rFonts w:ascii="微软雅黑" w:eastAsia="微软雅黑" w:hAnsi="微软雅黑" w:cs="微软雅黑" w:hint="eastAsia"/>
          <w:b/>
          <w:bCs/>
          <w:sz w:val="28"/>
          <w:szCs w:val="28"/>
        </w:rPr>
        <w:t>奔向脱贫的路上</w:t>
      </w:r>
    </w:p>
    <w:p w:rsidR="00587473" w:rsidRPr="00DE5965" w:rsidRDefault="00666757" w:rsidP="00587473">
      <w:pPr>
        <w:snapToGrid w:val="0"/>
        <w:spacing w:line="360" w:lineRule="auto"/>
        <w:ind w:firstLineChars="200" w:firstLine="560"/>
        <w:rPr>
          <w:rFonts w:ascii="仿宋" w:eastAsia="仿宋" w:hAnsi="仿宋"/>
          <w:bCs/>
          <w:sz w:val="28"/>
          <w:szCs w:val="28"/>
        </w:rPr>
      </w:pPr>
      <w:bookmarkStart w:id="2" w:name="_Toc28332889"/>
      <w:bookmarkStart w:id="3" w:name="_Toc28373662"/>
      <w:r>
        <w:rPr>
          <w:rFonts w:ascii="仿宋" w:eastAsia="仿宋" w:hAnsi="仿宋" w:hint="eastAsia"/>
          <w:bCs/>
          <w:sz w:val="28"/>
          <w:szCs w:val="28"/>
        </w:rPr>
        <w:t>湖南广播电视大学</w:t>
      </w:r>
      <w:bookmarkStart w:id="4" w:name="_GoBack"/>
      <w:bookmarkEnd w:id="4"/>
      <w:r w:rsidR="00587473" w:rsidRPr="00DE5965">
        <w:rPr>
          <w:rFonts w:ascii="仿宋" w:eastAsia="仿宋" w:hAnsi="仿宋" w:hint="eastAsia"/>
          <w:bCs/>
          <w:sz w:val="28"/>
          <w:szCs w:val="28"/>
        </w:rPr>
        <w:t>积极服务国家战略，扎实推进扶</w:t>
      </w:r>
      <w:r w:rsidR="00587473" w:rsidRPr="00DE5965">
        <w:rPr>
          <w:rFonts w:ascii="仿宋" w:eastAsia="仿宋" w:hAnsi="仿宋"/>
          <w:bCs/>
          <w:sz w:val="28"/>
          <w:szCs w:val="28"/>
        </w:rPr>
        <w:t>贫</w:t>
      </w:r>
      <w:r w:rsidR="00587473" w:rsidRPr="00DE5965">
        <w:rPr>
          <w:rFonts w:ascii="仿宋" w:eastAsia="仿宋" w:hAnsi="仿宋" w:hint="eastAsia"/>
          <w:bCs/>
          <w:sz w:val="28"/>
          <w:szCs w:val="28"/>
        </w:rPr>
        <w:t>工作。一是选派精干力量赴张家界永定区黑潭村和桑植县洪家关白族乡回龙村开展驻村扶贫帮扶工作。共为黑潭村、回龙村培养6名农民大学生，4名致富带头人，23名专业技术能手，同时设立回龙村“扶智奖学金”“励志奖学金”，为30名考上大学的学生、89名义务教育阶段学生发放助学奖学金近5万元。帮扶两个村的集体经济收入从零增长到5万元以上，形成了黑潭村100亩</w:t>
      </w:r>
      <w:proofErr w:type="gramStart"/>
      <w:r w:rsidR="00587473" w:rsidRPr="00DE5965">
        <w:rPr>
          <w:rFonts w:ascii="仿宋" w:eastAsia="仿宋" w:hAnsi="仿宋" w:hint="eastAsia"/>
          <w:bCs/>
          <w:sz w:val="28"/>
          <w:szCs w:val="28"/>
        </w:rPr>
        <w:t>莓</w:t>
      </w:r>
      <w:proofErr w:type="gramEnd"/>
      <w:r w:rsidR="00587473" w:rsidRPr="00DE5965">
        <w:rPr>
          <w:rFonts w:ascii="仿宋" w:eastAsia="仿宋" w:hAnsi="仿宋" w:hint="eastAsia"/>
          <w:bCs/>
          <w:sz w:val="28"/>
          <w:szCs w:val="28"/>
        </w:rPr>
        <w:t>茶基地、回龙村138亩立体生态体验园、60亩黑斑</w:t>
      </w:r>
      <w:proofErr w:type="gramStart"/>
      <w:r w:rsidR="00587473" w:rsidRPr="00DE5965">
        <w:rPr>
          <w:rFonts w:ascii="仿宋" w:eastAsia="仿宋" w:hAnsi="仿宋" w:hint="eastAsia"/>
          <w:bCs/>
          <w:sz w:val="28"/>
          <w:szCs w:val="28"/>
        </w:rPr>
        <w:t>蛙</w:t>
      </w:r>
      <w:proofErr w:type="gramEnd"/>
      <w:r w:rsidR="00587473" w:rsidRPr="00DE5965">
        <w:rPr>
          <w:rFonts w:ascii="仿宋" w:eastAsia="仿宋" w:hAnsi="仿宋" w:hint="eastAsia"/>
          <w:bCs/>
          <w:sz w:val="28"/>
          <w:szCs w:val="28"/>
        </w:rPr>
        <w:t>养殖基地、55亩思家家庭农场等特色农业项目，户均增收1000元以上。2019年11月，经过省市县各级严格审查和第三方评估，回龙村实现省级深度贫困村脱贫出列，驻村工作队2019年度驻村扶贫考核获“优秀”等次。</w:t>
      </w:r>
      <w:bookmarkEnd w:id="2"/>
      <w:bookmarkEnd w:id="3"/>
      <w:r w:rsidR="00587473" w:rsidRPr="00DE5965">
        <w:rPr>
          <w:rFonts w:ascii="仿宋" w:eastAsia="仿宋" w:hAnsi="仿宋" w:hint="eastAsia"/>
          <w:bCs/>
          <w:sz w:val="28"/>
          <w:szCs w:val="28"/>
        </w:rPr>
        <w:t>二是选派专业技术强手</w:t>
      </w:r>
      <w:proofErr w:type="gramStart"/>
      <w:r w:rsidR="00587473" w:rsidRPr="00DE5965">
        <w:rPr>
          <w:rFonts w:ascii="仿宋" w:eastAsia="仿宋" w:hAnsi="仿宋" w:hint="eastAsia"/>
          <w:bCs/>
          <w:sz w:val="28"/>
          <w:szCs w:val="28"/>
        </w:rPr>
        <w:t>方颂参加</w:t>
      </w:r>
      <w:proofErr w:type="gramEnd"/>
      <w:r w:rsidR="00587473" w:rsidRPr="00DE5965">
        <w:rPr>
          <w:rFonts w:ascii="仿宋" w:eastAsia="仿宋" w:hAnsi="仿宋" w:hint="eastAsia"/>
          <w:bCs/>
          <w:sz w:val="28"/>
          <w:szCs w:val="28"/>
        </w:rPr>
        <w:t>援藏项目并担任湖南援藏队队长，他带领队员通过多种渠道向西藏贫困地区捐赠急需药品、学习用品和书籍共计近二十万元，发放宣传手册4000余份，捐助康复医疗设备近300万元，捐赠医疗急需用血2800ml，接受免费义诊和免费白内障手术的藏族同胞达数百人。三是</w:t>
      </w:r>
      <w:bookmarkStart w:id="5" w:name="_Toc28332896"/>
      <w:bookmarkStart w:id="6" w:name="_Toc28373669"/>
      <w:r w:rsidR="00587473" w:rsidRPr="00DE5965">
        <w:rPr>
          <w:rFonts w:ascii="仿宋" w:eastAsia="仿宋" w:hAnsi="仿宋" w:hint="eastAsia"/>
          <w:bCs/>
          <w:sz w:val="28"/>
          <w:szCs w:val="28"/>
        </w:rPr>
        <w:t>依托“农民大学生培养计划”项目，培养了遍布全省24099个村共12万余名农民大学生，成为推进乡村振兴的骨干力量和生力军，且留在当地干事创业的比例为99.3%，约有82.6%的学员进入了</w:t>
      </w:r>
      <w:proofErr w:type="gramStart"/>
      <w:r w:rsidR="00587473" w:rsidRPr="00DE5965">
        <w:rPr>
          <w:rFonts w:ascii="仿宋" w:eastAsia="仿宋" w:hAnsi="仿宋" w:hint="eastAsia"/>
          <w:bCs/>
          <w:sz w:val="28"/>
          <w:szCs w:val="28"/>
        </w:rPr>
        <w:t>村支两</w:t>
      </w:r>
      <w:proofErr w:type="gramEnd"/>
      <w:r w:rsidR="00587473" w:rsidRPr="00DE5965">
        <w:rPr>
          <w:rFonts w:ascii="仿宋" w:eastAsia="仿宋" w:hAnsi="仿宋" w:hint="eastAsia"/>
          <w:bCs/>
          <w:sz w:val="28"/>
          <w:szCs w:val="28"/>
        </w:rPr>
        <w:t>委班子或成为了村级后备干部，61.8%的学员成为了当地的致富带头人。</w:t>
      </w:r>
      <w:bookmarkEnd w:id="5"/>
      <w:bookmarkEnd w:id="6"/>
    </w:p>
    <w:p w:rsidR="00587473" w:rsidRPr="00DE5965" w:rsidRDefault="00587473" w:rsidP="00587473">
      <w:pPr>
        <w:rPr>
          <w:rFonts w:ascii="楷体" w:eastAsia="楷体" w:hAnsi="楷体" w:cs="楷体"/>
          <w:b/>
          <w:bCs/>
          <w:sz w:val="36"/>
          <w:szCs w:val="36"/>
        </w:rPr>
      </w:pPr>
      <w:r w:rsidRPr="00DE5965">
        <w:rPr>
          <w:rFonts w:asciiTheme="minorEastAsia" w:hAnsiTheme="minorEastAsia"/>
          <w:noProof/>
          <w:szCs w:val="21"/>
        </w:rPr>
        <w:lastRenderedPageBreak/>
        <w:drawing>
          <wp:anchor distT="0" distB="0" distL="114300" distR="114300" simplePos="0" relativeHeight="251659264" behindDoc="1" locked="0" layoutInCell="1" allowOverlap="1">
            <wp:simplePos x="0" y="0"/>
            <wp:positionH relativeFrom="column">
              <wp:posOffset>21590</wp:posOffset>
            </wp:positionH>
            <wp:positionV relativeFrom="paragraph">
              <wp:posOffset>-5715</wp:posOffset>
            </wp:positionV>
            <wp:extent cx="2601595" cy="1897380"/>
            <wp:effectExtent l="19050" t="0" r="8255" b="0"/>
            <wp:wrapTight wrapText="bothSides">
              <wp:wrapPolygon edited="0">
                <wp:start x="-158" y="0"/>
                <wp:lineTo x="-158" y="21470"/>
                <wp:lineTo x="21669" y="21470"/>
                <wp:lineTo x="21669" y="0"/>
                <wp:lineTo x="-158" y="0"/>
              </wp:wrapPolygon>
            </wp:wrapTight>
            <wp:docPr id="4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6"/>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1549" b="3186"/>
                    <a:stretch>
                      <a:fillRect/>
                    </a:stretch>
                  </pic:blipFill>
                  <pic:spPr>
                    <a:xfrm>
                      <a:off x="0" y="0"/>
                      <a:ext cx="2601595" cy="1897380"/>
                    </a:xfrm>
                    <a:prstGeom prst="rect">
                      <a:avLst/>
                    </a:prstGeom>
                    <a:noFill/>
                    <a:ln w="9525">
                      <a:noFill/>
                      <a:miter lim="800000"/>
                      <a:headEnd/>
                      <a:tailEnd/>
                    </a:ln>
                  </pic:spPr>
                </pic:pic>
              </a:graphicData>
            </a:graphic>
          </wp:anchor>
        </w:drawing>
      </w:r>
      <w:r w:rsidRPr="00DE5965">
        <w:rPr>
          <w:rFonts w:ascii="楷体" w:eastAsia="楷体" w:hAnsi="楷体" w:cs="楷体" w:hint="eastAsia"/>
          <w:b/>
          <w:bCs/>
          <w:noProof/>
          <w:sz w:val="36"/>
          <w:szCs w:val="36"/>
        </w:rPr>
        <w:drawing>
          <wp:inline distT="0" distB="0" distL="114300" distR="114300">
            <wp:extent cx="2441902" cy="1915886"/>
            <wp:effectExtent l="19050" t="0" r="0" b="0"/>
            <wp:docPr id="10" name="图片 1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1"/>
                    <pic:cNvPicPr>
                      <a:picLocks noChangeAspect="1"/>
                    </pic:cNvPicPr>
                  </pic:nvPicPr>
                  <pic:blipFill>
                    <a:blip r:embed="rId8" cstate="print"/>
                    <a:stretch>
                      <a:fillRect/>
                    </a:stretch>
                  </pic:blipFill>
                  <pic:spPr>
                    <a:xfrm>
                      <a:off x="0" y="0"/>
                      <a:ext cx="2441109" cy="1915264"/>
                    </a:xfrm>
                    <a:prstGeom prst="rect">
                      <a:avLst/>
                    </a:prstGeom>
                  </pic:spPr>
                </pic:pic>
              </a:graphicData>
            </a:graphic>
          </wp:inline>
        </w:drawing>
      </w:r>
    </w:p>
    <w:p w:rsidR="00587473" w:rsidRPr="00DE5965" w:rsidRDefault="00587473" w:rsidP="00587473">
      <w:pPr>
        <w:spacing w:line="220" w:lineRule="atLeast"/>
        <w:ind w:firstLineChars="600" w:firstLine="1260"/>
        <w:rPr>
          <w:rFonts w:asciiTheme="majorEastAsia" w:eastAsiaTheme="majorEastAsia" w:hAnsiTheme="majorEastAsia"/>
          <w:sz w:val="28"/>
          <w:szCs w:val="28"/>
        </w:rPr>
      </w:pPr>
      <w:r w:rsidRPr="00DE5965">
        <w:rPr>
          <w:rFonts w:asciiTheme="minorEastAsia" w:hAnsiTheme="minorEastAsia" w:hint="eastAsia"/>
          <w:szCs w:val="21"/>
        </w:rPr>
        <w:t>捐书仪式现场                            开展服务民生活动</w:t>
      </w:r>
    </w:p>
    <w:p w:rsidR="00587473" w:rsidRPr="00DE5965" w:rsidRDefault="00587473" w:rsidP="00587473">
      <w:pPr>
        <w:spacing w:line="220" w:lineRule="atLeast"/>
        <w:rPr>
          <w:rFonts w:asciiTheme="majorEastAsia" w:eastAsiaTheme="majorEastAsia" w:hAnsiTheme="majorEastAsia"/>
          <w:sz w:val="28"/>
          <w:szCs w:val="28"/>
        </w:rPr>
      </w:pPr>
    </w:p>
    <w:p w:rsidR="00587473" w:rsidRPr="00DE5965" w:rsidRDefault="00587473" w:rsidP="00587473">
      <w:pPr>
        <w:spacing w:line="220" w:lineRule="atLeast"/>
        <w:rPr>
          <w:rFonts w:asciiTheme="majorEastAsia" w:eastAsiaTheme="majorEastAsia" w:hAnsiTheme="majorEastAsia"/>
          <w:sz w:val="28"/>
          <w:szCs w:val="28"/>
        </w:rPr>
      </w:pPr>
    </w:p>
    <w:p w:rsidR="00587473" w:rsidRPr="00DE5965" w:rsidRDefault="00587473" w:rsidP="00587473">
      <w:pPr>
        <w:spacing w:line="220" w:lineRule="atLeast"/>
        <w:rPr>
          <w:rFonts w:asciiTheme="majorEastAsia" w:eastAsiaTheme="majorEastAsia" w:hAnsiTheme="majorEastAsia"/>
          <w:sz w:val="28"/>
          <w:szCs w:val="28"/>
        </w:rPr>
      </w:pPr>
    </w:p>
    <w:p w:rsidR="00587473" w:rsidRPr="00DE5965" w:rsidRDefault="00587473" w:rsidP="00587473"/>
    <w:p w:rsidR="00587473" w:rsidRPr="00DE5965" w:rsidRDefault="00587473" w:rsidP="00587473">
      <w:pPr>
        <w:pStyle w:val="a3"/>
        <w:adjustRightInd w:val="0"/>
        <w:snapToGrid w:val="0"/>
        <w:spacing w:before="0" w:beforeAutospacing="0" w:after="0" w:afterAutospacing="0" w:line="500" w:lineRule="exact"/>
        <w:rPr>
          <w:rFonts w:ascii="仿宋" w:eastAsia="仿宋" w:hAnsi="仿宋"/>
          <w:sz w:val="28"/>
          <w:szCs w:val="28"/>
        </w:rPr>
      </w:pPr>
    </w:p>
    <w:p w:rsidR="00587473" w:rsidRPr="00DE5965" w:rsidRDefault="00587473" w:rsidP="00587473">
      <w:pPr>
        <w:pStyle w:val="a3"/>
        <w:adjustRightInd w:val="0"/>
        <w:snapToGrid w:val="0"/>
        <w:spacing w:before="0" w:beforeAutospacing="0" w:after="0" w:afterAutospacing="0" w:line="500" w:lineRule="exact"/>
        <w:rPr>
          <w:rFonts w:ascii="仿宋" w:eastAsia="仿宋" w:hAnsi="仿宋"/>
          <w:sz w:val="28"/>
          <w:szCs w:val="28"/>
        </w:rPr>
      </w:pPr>
    </w:p>
    <w:p w:rsidR="00587473" w:rsidRPr="00DE5965" w:rsidRDefault="00587473" w:rsidP="00587473">
      <w:pPr>
        <w:pStyle w:val="a3"/>
        <w:adjustRightInd w:val="0"/>
        <w:snapToGrid w:val="0"/>
        <w:spacing w:before="0" w:beforeAutospacing="0" w:after="0" w:afterAutospacing="0" w:line="500" w:lineRule="exact"/>
        <w:rPr>
          <w:rFonts w:ascii="仿宋" w:eastAsia="仿宋" w:hAnsi="仿宋"/>
          <w:sz w:val="28"/>
          <w:szCs w:val="28"/>
        </w:rPr>
      </w:pPr>
    </w:p>
    <w:p w:rsidR="00601758" w:rsidRDefault="00601758"/>
    <w:sectPr w:rsidR="00601758" w:rsidSect="00CD1E99">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7CE2" w:rsidRDefault="00197CE2" w:rsidP="00056298">
      <w:r>
        <w:separator/>
      </w:r>
    </w:p>
  </w:endnote>
  <w:endnote w:type="continuationSeparator" w:id="0">
    <w:p w:rsidR="00197CE2" w:rsidRDefault="00197CE2" w:rsidP="0005629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楷体_GB2312">
    <w:altName w:val="楷体"/>
    <w:charset w:val="86"/>
    <w:family w:val="auto"/>
    <w:pitch w:val="default"/>
    <w:sig w:usb0="00000000" w:usb1="00000000" w:usb2="00000000" w:usb3="00000000" w:csb0="00040000"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7CE2" w:rsidRDefault="00197CE2" w:rsidP="00056298">
      <w:r>
        <w:separator/>
      </w:r>
    </w:p>
  </w:footnote>
  <w:footnote w:type="continuationSeparator" w:id="0">
    <w:p w:rsidR="00197CE2" w:rsidRDefault="00197CE2" w:rsidP="0005629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87473"/>
    <w:rsid w:val="00056298"/>
    <w:rsid w:val="00151B1C"/>
    <w:rsid w:val="00197CE2"/>
    <w:rsid w:val="00587473"/>
    <w:rsid w:val="00601758"/>
    <w:rsid w:val="00666757"/>
    <w:rsid w:val="00A24E7E"/>
    <w:rsid w:val="00CD1E9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7473"/>
    <w:pPr>
      <w:widowControl w:val="0"/>
      <w:jc w:val="both"/>
    </w:pPr>
  </w:style>
  <w:style w:type="paragraph" w:styleId="2">
    <w:name w:val="heading 2"/>
    <w:basedOn w:val="a"/>
    <w:next w:val="a"/>
    <w:link w:val="2Char"/>
    <w:uiPriority w:val="9"/>
    <w:semiHidden/>
    <w:unhideWhenUsed/>
    <w:qFormat/>
    <w:rsid w:val="00587473"/>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semiHidden/>
    <w:qFormat/>
    <w:rsid w:val="00587473"/>
    <w:rPr>
      <w:rFonts w:asciiTheme="majorHAnsi" w:eastAsiaTheme="majorEastAsia" w:hAnsiTheme="majorHAnsi" w:cstheme="majorBidi"/>
      <w:b/>
      <w:bCs/>
      <w:sz w:val="32"/>
      <w:szCs w:val="32"/>
    </w:rPr>
  </w:style>
  <w:style w:type="paragraph" w:styleId="a3">
    <w:name w:val="Normal (Web)"/>
    <w:basedOn w:val="a"/>
    <w:uiPriority w:val="99"/>
    <w:unhideWhenUsed/>
    <w:qFormat/>
    <w:rsid w:val="00587473"/>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587473"/>
    <w:rPr>
      <w:sz w:val="18"/>
      <w:szCs w:val="18"/>
    </w:rPr>
  </w:style>
  <w:style w:type="character" w:customStyle="1" w:styleId="Char">
    <w:name w:val="批注框文本 Char"/>
    <w:basedOn w:val="a0"/>
    <w:link w:val="a4"/>
    <w:uiPriority w:val="99"/>
    <w:semiHidden/>
    <w:rsid w:val="00587473"/>
    <w:rPr>
      <w:sz w:val="18"/>
      <w:szCs w:val="18"/>
    </w:rPr>
  </w:style>
  <w:style w:type="paragraph" w:styleId="a5">
    <w:name w:val="header"/>
    <w:basedOn w:val="a"/>
    <w:link w:val="Char0"/>
    <w:uiPriority w:val="99"/>
    <w:semiHidden/>
    <w:unhideWhenUsed/>
    <w:rsid w:val="0005629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semiHidden/>
    <w:rsid w:val="00056298"/>
    <w:rPr>
      <w:sz w:val="18"/>
      <w:szCs w:val="18"/>
    </w:rPr>
  </w:style>
  <w:style w:type="paragraph" w:styleId="a6">
    <w:name w:val="footer"/>
    <w:basedOn w:val="a"/>
    <w:link w:val="Char1"/>
    <w:uiPriority w:val="99"/>
    <w:semiHidden/>
    <w:unhideWhenUsed/>
    <w:rsid w:val="00056298"/>
    <w:pPr>
      <w:tabs>
        <w:tab w:val="center" w:pos="4153"/>
        <w:tab w:val="right" w:pos="8306"/>
      </w:tabs>
      <w:snapToGrid w:val="0"/>
      <w:jc w:val="left"/>
    </w:pPr>
    <w:rPr>
      <w:sz w:val="18"/>
      <w:szCs w:val="18"/>
    </w:rPr>
  </w:style>
  <w:style w:type="character" w:customStyle="1" w:styleId="Char1">
    <w:name w:val="页脚 Char"/>
    <w:basedOn w:val="a0"/>
    <w:link w:val="a6"/>
    <w:uiPriority w:val="99"/>
    <w:semiHidden/>
    <w:rsid w:val="00056298"/>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7473"/>
    <w:pPr>
      <w:widowControl w:val="0"/>
      <w:jc w:val="both"/>
    </w:pPr>
  </w:style>
  <w:style w:type="paragraph" w:styleId="2">
    <w:name w:val="heading 2"/>
    <w:basedOn w:val="a"/>
    <w:next w:val="a"/>
    <w:link w:val="2Char"/>
    <w:uiPriority w:val="9"/>
    <w:semiHidden/>
    <w:unhideWhenUsed/>
    <w:qFormat/>
    <w:rsid w:val="00587473"/>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semiHidden/>
    <w:qFormat/>
    <w:rsid w:val="00587473"/>
    <w:rPr>
      <w:rFonts w:asciiTheme="majorHAnsi" w:eastAsiaTheme="majorEastAsia" w:hAnsiTheme="majorHAnsi" w:cstheme="majorBidi"/>
      <w:b/>
      <w:bCs/>
      <w:sz w:val="32"/>
      <w:szCs w:val="32"/>
    </w:rPr>
  </w:style>
  <w:style w:type="paragraph" w:styleId="a3">
    <w:name w:val="Normal (Web)"/>
    <w:basedOn w:val="a"/>
    <w:uiPriority w:val="99"/>
    <w:unhideWhenUsed/>
    <w:qFormat/>
    <w:rsid w:val="00587473"/>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587473"/>
    <w:rPr>
      <w:sz w:val="18"/>
      <w:szCs w:val="18"/>
    </w:rPr>
  </w:style>
  <w:style w:type="character" w:customStyle="1" w:styleId="Char">
    <w:name w:val="批注框文本 Char"/>
    <w:basedOn w:val="a0"/>
    <w:link w:val="a4"/>
    <w:uiPriority w:val="99"/>
    <w:semiHidden/>
    <w:rsid w:val="00587473"/>
    <w:rPr>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microsoft.com/office/2007/relationships/stylesWithEffects" Target="stylesWithEffects.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178</Words>
  <Characters>1020</Characters>
  <Application>Microsoft Office Word</Application>
  <DocSecurity>0</DocSecurity>
  <Lines>8</Lines>
  <Paragraphs>2</Paragraphs>
  <ScaleCrop>false</ScaleCrop>
  <Company/>
  <LinksUpToDate>false</LinksUpToDate>
  <CharactersWithSpaces>1196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xb21cn</dc:creator>
  <cp:lastModifiedBy>Windows 用户</cp:lastModifiedBy>
  <cp:revision>7</cp:revision>
  <dcterms:created xsi:type="dcterms:W3CDTF">2020-07-28T02:31:00Z</dcterms:created>
  <dcterms:modified xsi:type="dcterms:W3CDTF">2020-07-28T06:07:00Z</dcterms:modified>
</cp:coreProperties>
</file>