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pacing w:line="520" w:lineRule="exact"/>
        <w:jc w:val="center"/>
        <w:textAlignment w:val="auto"/>
        <w:outlineLvl w:val="9"/>
        <w:rPr>
          <w:rFonts w:ascii="黑体" w:hAnsi="黑体" w:eastAsia="黑体"/>
          <w:b/>
          <w:bCs/>
          <w:snapToGrid w:val="0"/>
          <w:color w:val="000000"/>
          <w:kern w:val="0"/>
          <w:sz w:val="32"/>
          <w:szCs w:val="32"/>
        </w:rPr>
      </w:pPr>
      <w:r>
        <w:rPr>
          <w:rFonts w:hint="eastAsia" w:ascii="黑体" w:hAnsi="黑体" w:eastAsia="黑体"/>
          <w:b/>
          <w:bCs/>
          <w:snapToGrid w:val="0"/>
          <w:color w:val="000000"/>
          <w:kern w:val="0"/>
          <w:sz w:val="32"/>
          <w:szCs w:val="32"/>
        </w:rPr>
        <w:t>湖南广播电视大学</w:t>
      </w:r>
      <w:r>
        <w:rPr>
          <w:rFonts w:ascii="黑体" w:hAnsi="黑体" w:eastAsia="黑体"/>
          <w:b/>
          <w:bCs/>
          <w:snapToGrid w:val="0"/>
          <w:color w:val="000000"/>
          <w:kern w:val="0"/>
          <w:sz w:val="32"/>
          <w:szCs w:val="32"/>
        </w:rPr>
        <w:t>职称参评人员</w:t>
      </w:r>
      <w:r>
        <w:rPr>
          <w:rFonts w:hint="eastAsia" w:ascii="黑体" w:hAnsi="黑体" w:eastAsia="黑体"/>
          <w:b/>
          <w:bCs/>
          <w:snapToGrid w:val="0"/>
          <w:color w:val="000000"/>
          <w:kern w:val="0"/>
          <w:sz w:val="32"/>
          <w:szCs w:val="32"/>
          <w:lang w:eastAsia="zh-CN"/>
        </w:rPr>
        <w:t>教学测评</w:t>
      </w:r>
      <w:r>
        <w:rPr>
          <w:rFonts w:ascii="黑体" w:hAnsi="黑体" w:eastAsia="黑体"/>
          <w:b/>
          <w:bCs/>
          <w:snapToGrid w:val="0"/>
          <w:color w:val="000000"/>
          <w:kern w:val="0"/>
          <w:sz w:val="32"/>
          <w:szCs w:val="32"/>
        </w:rPr>
        <w:t>实施</w:t>
      </w:r>
    </w:p>
    <w:p>
      <w:pPr>
        <w:keepNext w:val="0"/>
        <w:keepLines w:val="0"/>
        <w:pageBreakBefore w:val="0"/>
        <w:widowControl w:val="0"/>
        <w:kinsoku/>
        <w:wordWrap/>
        <w:overflowPunct/>
        <w:topLinePunct w:val="0"/>
        <w:autoSpaceDE/>
        <w:autoSpaceDN/>
        <w:bidi w:val="0"/>
        <w:adjustRightInd/>
        <w:spacing w:line="520" w:lineRule="exact"/>
        <w:jc w:val="center"/>
        <w:textAlignment w:val="auto"/>
        <w:outlineLvl w:val="9"/>
        <w:rPr>
          <w:rFonts w:ascii="黑体" w:hAnsi="黑体" w:eastAsia="黑体"/>
          <w:b/>
          <w:bCs/>
          <w:snapToGrid w:val="0"/>
          <w:color w:val="000000"/>
          <w:kern w:val="0"/>
          <w:sz w:val="32"/>
          <w:szCs w:val="32"/>
        </w:rPr>
      </w:pPr>
      <w:r>
        <w:rPr>
          <w:rFonts w:ascii="黑体" w:hAnsi="黑体" w:eastAsia="黑体"/>
          <w:b/>
          <w:bCs/>
          <w:snapToGrid w:val="0"/>
          <w:color w:val="000000"/>
          <w:kern w:val="0"/>
          <w:sz w:val="32"/>
          <w:szCs w:val="32"/>
        </w:rPr>
        <w:t>方</w:t>
      </w:r>
      <w:r>
        <w:rPr>
          <w:rFonts w:hint="eastAsia" w:ascii="黑体" w:hAnsi="黑体" w:eastAsia="黑体"/>
          <w:b/>
          <w:bCs/>
          <w:snapToGrid w:val="0"/>
          <w:color w:val="000000"/>
          <w:kern w:val="0"/>
          <w:sz w:val="32"/>
          <w:szCs w:val="32"/>
          <w:lang w:val="en-US" w:eastAsia="zh-CN"/>
        </w:rPr>
        <w:t xml:space="preserve">  </w:t>
      </w:r>
      <w:r>
        <w:rPr>
          <w:rFonts w:ascii="黑体" w:hAnsi="黑体" w:eastAsia="黑体"/>
          <w:b/>
          <w:bCs/>
          <w:snapToGrid w:val="0"/>
          <w:color w:val="000000"/>
          <w:kern w:val="0"/>
          <w:sz w:val="32"/>
          <w:szCs w:val="32"/>
        </w:rPr>
        <w:t>案</w:t>
      </w:r>
    </w:p>
    <w:p>
      <w:pPr>
        <w:keepNext w:val="0"/>
        <w:keepLines w:val="0"/>
        <w:pageBreakBefore w:val="0"/>
        <w:widowControl w:val="0"/>
        <w:kinsoku/>
        <w:wordWrap/>
        <w:overflowPunct/>
        <w:topLinePunct w:val="0"/>
        <w:autoSpaceDE/>
        <w:autoSpaceDN/>
        <w:bidi w:val="0"/>
        <w:snapToGrid w:val="0"/>
        <w:spacing w:line="520" w:lineRule="exact"/>
        <w:ind w:firstLine="562" w:firstLineChars="200"/>
        <w:textAlignment w:val="auto"/>
        <w:outlineLvl w:val="9"/>
        <w:rPr>
          <w:rFonts w:hint="eastAsia" w:ascii="黑体" w:hAnsi="黑体" w:eastAsia="黑体"/>
          <w:b/>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textAlignment w:val="auto"/>
        <w:outlineLvl w:val="9"/>
        <w:rPr>
          <w:rFonts w:hint="default" w:ascii="Times New Roman" w:hAnsi="Times New Roman" w:eastAsia="仿宋" w:cs="Times New Roman"/>
          <w:sz w:val="28"/>
          <w:szCs w:val="28"/>
        </w:rPr>
      </w:pPr>
      <w:r>
        <w:rPr>
          <w:rFonts w:hint="default" w:ascii="Times New Roman" w:hAnsi="Times New Roman" w:eastAsia="仿宋" w:cs="Times New Roman"/>
          <w:sz w:val="28"/>
          <w:szCs w:val="28"/>
        </w:rPr>
        <w:t>根据湖南省教育厅《湖南省深化高等学校教师系列专业技术职称（职务）评审制度改革工作实施方案（试行）》（湘教发〔2018〕2号）</w:t>
      </w:r>
      <w:r>
        <w:rPr>
          <w:rFonts w:hint="default" w:ascii="Times New Roman" w:hAnsi="Times New Roman" w:eastAsia="仿宋" w:cs="Times New Roman"/>
          <w:sz w:val="28"/>
          <w:szCs w:val="28"/>
          <w:lang w:eastAsia="zh-CN"/>
        </w:rPr>
        <w:t>和</w:t>
      </w:r>
      <w:r>
        <w:rPr>
          <w:rFonts w:hint="eastAsia" w:ascii="Times New Roman" w:hAnsi="Times New Roman" w:eastAsia="仿宋" w:cs="Times New Roman"/>
          <w:sz w:val="28"/>
          <w:szCs w:val="28"/>
          <w:lang w:eastAsia="zh-CN"/>
        </w:rPr>
        <w:t>有关职称评审</w:t>
      </w:r>
      <w:r>
        <w:rPr>
          <w:rFonts w:hint="default" w:ascii="Times New Roman" w:hAnsi="Times New Roman" w:eastAsia="仿宋" w:cs="Times New Roman"/>
          <w:sz w:val="28"/>
          <w:szCs w:val="28"/>
        </w:rPr>
        <w:t>文件精神，现结合实际情况，制定本方案。</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textAlignment w:val="auto"/>
        <w:outlineLvl w:val="9"/>
        <w:rPr>
          <w:rFonts w:hint="eastAsia" w:ascii="黑体" w:hAnsi="黑体" w:eastAsia="黑体" w:cs="黑体"/>
          <w:sz w:val="28"/>
          <w:szCs w:val="28"/>
        </w:rPr>
      </w:pPr>
      <w:r>
        <w:rPr>
          <w:rFonts w:hint="eastAsia" w:ascii="黑体" w:hAnsi="黑体" w:eastAsia="黑体" w:cs="黑体"/>
          <w:sz w:val="28"/>
          <w:szCs w:val="28"/>
        </w:rPr>
        <w:t>一</w:t>
      </w:r>
      <w:r>
        <w:rPr>
          <w:rFonts w:hint="eastAsia" w:ascii="黑体" w:hAnsi="黑体" w:eastAsia="黑体" w:cs="黑体"/>
          <w:sz w:val="28"/>
          <w:szCs w:val="28"/>
          <w:lang w:eastAsia="zh-CN"/>
        </w:rPr>
        <w:t>、</w:t>
      </w:r>
      <w:r>
        <w:rPr>
          <w:rFonts w:hint="eastAsia" w:ascii="黑体" w:hAnsi="黑体" w:eastAsia="黑体" w:cs="黑体"/>
          <w:sz w:val="28"/>
          <w:szCs w:val="28"/>
        </w:rPr>
        <w:t>教学测评内容</w:t>
      </w:r>
    </w:p>
    <w:p>
      <w:pPr>
        <w:keepNext w:val="0"/>
        <w:keepLines w:val="0"/>
        <w:pageBreakBefore w:val="0"/>
        <w:widowControl w:val="0"/>
        <w:kinsoku/>
        <w:wordWrap/>
        <w:overflowPunct/>
        <w:topLinePunct w:val="0"/>
        <w:autoSpaceDE/>
        <w:autoSpaceDN/>
        <w:bidi w:val="0"/>
        <w:spacing w:line="520" w:lineRule="exact"/>
        <w:ind w:firstLine="560" w:firstLineChars="200"/>
        <w:jc w:val="left"/>
        <w:textAlignment w:val="auto"/>
        <w:outlineLvl w:val="9"/>
        <w:rPr>
          <w:rFonts w:hint="default" w:ascii="Times New Roman" w:hAnsi="Times New Roman" w:eastAsia="仿宋" w:cs="Times New Roman"/>
          <w:sz w:val="28"/>
          <w:szCs w:val="28"/>
        </w:rPr>
      </w:pPr>
      <w:r>
        <w:rPr>
          <w:rFonts w:hint="default" w:ascii="Times New Roman" w:hAnsi="Times New Roman" w:eastAsia="仿宋" w:cs="Times New Roman"/>
          <w:sz w:val="28"/>
          <w:szCs w:val="28"/>
        </w:rPr>
        <w:t>教学测评的主要内容为任现职以来教学工作相关情况：</w:t>
      </w:r>
    </w:p>
    <w:p>
      <w:pPr>
        <w:keepNext w:val="0"/>
        <w:keepLines w:val="0"/>
        <w:pageBreakBefore w:val="0"/>
        <w:widowControl w:val="0"/>
        <w:kinsoku/>
        <w:wordWrap/>
        <w:overflowPunct/>
        <w:topLinePunct w:val="0"/>
        <w:autoSpaceDE/>
        <w:autoSpaceDN/>
        <w:bidi w:val="0"/>
        <w:spacing w:line="520" w:lineRule="exact"/>
        <w:ind w:firstLine="560" w:firstLineChars="200"/>
        <w:jc w:val="left"/>
        <w:textAlignment w:val="auto"/>
        <w:outlineLvl w:val="9"/>
        <w:rPr>
          <w:rFonts w:hint="default" w:ascii="Times New Roman" w:hAnsi="Times New Roman" w:eastAsia="仿宋" w:cs="Times New Roman"/>
          <w:sz w:val="28"/>
          <w:szCs w:val="28"/>
        </w:rPr>
      </w:pPr>
      <w:r>
        <w:rPr>
          <w:rFonts w:hint="default" w:ascii="Times New Roman" w:hAnsi="Times New Roman" w:eastAsia="仿宋" w:cs="Times New Roman"/>
          <w:sz w:val="28"/>
          <w:szCs w:val="28"/>
        </w:rPr>
        <w:t>（1）教育教学能力（实验工作能力）；</w:t>
      </w:r>
    </w:p>
    <w:p>
      <w:pPr>
        <w:keepNext w:val="0"/>
        <w:keepLines w:val="0"/>
        <w:pageBreakBefore w:val="0"/>
        <w:widowControl w:val="0"/>
        <w:kinsoku/>
        <w:wordWrap/>
        <w:overflowPunct/>
        <w:topLinePunct w:val="0"/>
        <w:autoSpaceDE/>
        <w:autoSpaceDN/>
        <w:bidi w:val="0"/>
        <w:spacing w:line="520" w:lineRule="exact"/>
        <w:ind w:firstLine="560" w:firstLineChars="200"/>
        <w:jc w:val="left"/>
        <w:textAlignment w:val="auto"/>
        <w:outlineLvl w:val="9"/>
        <w:rPr>
          <w:rFonts w:hint="default" w:ascii="Times New Roman" w:hAnsi="Times New Roman" w:eastAsia="仿宋" w:cs="Times New Roman"/>
          <w:sz w:val="28"/>
          <w:szCs w:val="28"/>
        </w:rPr>
      </w:pPr>
      <w:r>
        <w:rPr>
          <w:rFonts w:hint="default" w:ascii="Times New Roman" w:hAnsi="Times New Roman" w:eastAsia="仿宋" w:cs="Times New Roman"/>
          <w:sz w:val="28"/>
          <w:szCs w:val="28"/>
        </w:rPr>
        <w:t>（2）教学时量（实验教学工作时量）；</w:t>
      </w:r>
    </w:p>
    <w:p>
      <w:pPr>
        <w:keepNext w:val="0"/>
        <w:keepLines w:val="0"/>
        <w:pageBreakBefore w:val="0"/>
        <w:widowControl w:val="0"/>
        <w:kinsoku/>
        <w:wordWrap/>
        <w:overflowPunct/>
        <w:topLinePunct w:val="0"/>
        <w:autoSpaceDE/>
        <w:autoSpaceDN/>
        <w:bidi w:val="0"/>
        <w:spacing w:line="520" w:lineRule="exact"/>
        <w:ind w:firstLine="560" w:firstLineChars="200"/>
        <w:jc w:val="left"/>
        <w:textAlignment w:val="auto"/>
        <w:outlineLvl w:val="9"/>
        <w:rPr>
          <w:rFonts w:hint="default" w:ascii="Times New Roman" w:hAnsi="Times New Roman" w:eastAsia="仿宋" w:cs="Times New Roman"/>
          <w:sz w:val="28"/>
          <w:szCs w:val="28"/>
        </w:rPr>
      </w:pPr>
      <w:r>
        <w:rPr>
          <w:rFonts w:hint="default" w:ascii="Times New Roman" w:hAnsi="Times New Roman" w:eastAsia="仿宋" w:cs="Times New Roman"/>
          <w:sz w:val="28"/>
          <w:szCs w:val="28"/>
        </w:rPr>
        <w:t>（3）教学效果（实验教学或辅助实验教学效果）；</w:t>
      </w:r>
    </w:p>
    <w:p>
      <w:pPr>
        <w:keepNext w:val="0"/>
        <w:keepLines w:val="0"/>
        <w:pageBreakBefore w:val="0"/>
        <w:widowControl w:val="0"/>
        <w:kinsoku/>
        <w:wordWrap/>
        <w:overflowPunct/>
        <w:topLinePunct w:val="0"/>
        <w:autoSpaceDE/>
        <w:autoSpaceDN/>
        <w:bidi w:val="0"/>
        <w:adjustRightInd w:val="0"/>
        <w:snapToGrid w:val="0"/>
        <w:spacing w:line="520" w:lineRule="exact"/>
        <w:ind w:firstLine="560" w:firstLineChars="200"/>
        <w:textAlignment w:val="auto"/>
        <w:outlineLvl w:val="9"/>
        <w:rPr>
          <w:rFonts w:hint="default" w:ascii="Times New Roman" w:hAnsi="Times New Roman" w:eastAsia="仿宋" w:cs="Times New Roman"/>
          <w:sz w:val="28"/>
          <w:szCs w:val="28"/>
        </w:rPr>
      </w:pPr>
      <w:r>
        <w:rPr>
          <w:rFonts w:hint="default" w:ascii="Times New Roman" w:hAnsi="Times New Roman" w:eastAsia="仿宋" w:cs="Times New Roman"/>
          <w:sz w:val="28"/>
          <w:szCs w:val="28"/>
        </w:rPr>
        <w:t>（4）教学改革（实验教学改革）。</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jc w:val="left"/>
        <w:textAlignment w:val="auto"/>
        <w:rPr>
          <w:rFonts w:hint="default" w:ascii="黑体" w:hAnsi="黑体" w:eastAsia="黑体" w:cs="黑体"/>
          <w:b/>
          <w:bCs/>
          <w:snapToGrid w:val="0"/>
          <w:color w:val="000000"/>
          <w:kern w:val="0"/>
          <w:sz w:val="28"/>
          <w:szCs w:val="28"/>
        </w:rPr>
      </w:pPr>
      <w:r>
        <w:rPr>
          <w:rFonts w:hint="default" w:ascii="黑体" w:hAnsi="黑体" w:eastAsia="黑体" w:cs="黑体"/>
          <w:b/>
          <w:bCs/>
          <w:snapToGrid w:val="0"/>
          <w:color w:val="000000"/>
          <w:kern w:val="0"/>
          <w:sz w:val="28"/>
          <w:szCs w:val="28"/>
        </w:rPr>
        <w:t>二、考评对象</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hint="default" w:ascii="黑体" w:hAnsi="黑体" w:eastAsia="黑体" w:cs="黑体"/>
          <w:sz w:val="28"/>
          <w:szCs w:val="28"/>
          <w:lang w:eastAsia="zh-CN"/>
        </w:rPr>
      </w:pPr>
      <w:r>
        <w:rPr>
          <w:rFonts w:hint="default" w:ascii="Times New Roman" w:hAnsi="Times New Roman" w:eastAsia="仿宋" w:cs="Times New Roman"/>
          <w:snapToGrid w:val="0"/>
          <w:color w:val="000000"/>
          <w:kern w:val="0"/>
          <w:sz w:val="28"/>
          <w:szCs w:val="28"/>
        </w:rPr>
        <w:t>参评高教系列、实验系列中级及以上专业技术职称的人员。</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textAlignment w:val="auto"/>
        <w:outlineLvl w:val="9"/>
        <w:rPr>
          <w:rFonts w:hint="default" w:ascii="黑体" w:hAnsi="黑体" w:eastAsia="黑体" w:cs="黑体"/>
          <w:sz w:val="28"/>
          <w:szCs w:val="28"/>
        </w:rPr>
      </w:pPr>
      <w:r>
        <w:rPr>
          <w:rFonts w:hint="eastAsia" w:ascii="黑体" w:hAnsi="黑体" w:eastAsia="黑体" w:cs="黑体"/>
          <w:sz w:val="28"/>
          <w:szCs w:val="28"/>
          <w:lang w:eastAsia="zh-CN"/>
        </w:rPr>
        <w:t>三</w:t>
      </w:r>
      <w:r>
        <w:rPr>
          <w:rFonts w:hint="default" w:ascii="黑体" w:hAnsi="黑体" w:eastAsia="黑体" w:cs="黑体"/>
          <w:sz w:val="28"/>
          <w:szCs w:val="28"/>
          <w:lang w:eastAsia="zh-CN"/>
        </w:rPr>
        <w:t>、</w:t>
      </w:r>
      <w:r>
        <w:rPr>
          <w:rFonts w:hint="default" w:ascii="黑体" w:hAnsi="黑体" w:eastAsia="黑体" w:cs="黑体"/>
          <w:sz w:val="28"/>
          <w:szCs w:val="28"/>
        </w:rPr>
        <w:t>工作程序</w:t>
      </w:r>
    </w:p>
    <w:p>
      <w:pPr>
        <w:keepNext w:val="0"/>
        <w:keepLines w:val="0"/>
        <w:pageBreakBefore w:val="0"/>
        <w:widowControl w:val="0"/>
        <w:kinsoku/>
        <w:wordWrap/>
        <w:overflowPunct/>
        <w:topLinePunct w:val="0"/>
        <w:autoSpaceDE/>
        <w:autoSpaceDN/>
        <w:bidi w:val="0"/>
        <w:spacing w:line="520" w:lineRule="exact"/>
        <w:ind w:firstLine="562" w:firstLineChars="200"/>
        <w:textAlignment w:val="auto"/>
        <w:outlineLvl w:val="9"/>
        <w:rPr>
          <w:rFonts w:hint="default" w:ascii="Times New Roman" w:hAnsi="Times New Roman" w:eastAsia="仿宋" w:cs="Times New Roman"/>
          <w:sz w:val="28"/>
          <w:szCs w:val="28"/>
        </w:rPr>
      </w:pPr>
      <w:r>
        <w:rPr>
          <w:rFonts w:hint="default" w:ascii="Times New Roman" w:hAnsi="Times New Roman" w:eastAsia="仿宋" w:cs="Times New Roman"/>
          <w:b/>
          <w:bCs/>
          <w:sz w:val="28"/>
          <w:szCs w:val="28"/>
        </w:rPr>
        <w:t>1.</w:t>
      </w:r>
      <w:r>
        <w:rPr>
          <w:rFonts w:hint="default" w:ascii="Times New Roman" w:hAnsi="Times New Roman" w:eastAsia="仿宋" w:cs="Times New Roman"/>
          <w:b/>
          <w:bCs/>
          <w:sz w:val="28"/>
          <w:szCs w:val="28"/>
          <w:lang w:eastAsia="zh-CN"/>
        </w:rPr>
        <w:t>个人填写。</w:t>
      </w:r>
      <w:r>
        <w:rPr>
          <w:rFonts w:hint="default" w:ascii="Times New Roman" w:hAnsi="Times New Roman" w:eastAsia="仿宋" w:cs="Times New Roman"/>
          <w:sz w:val="28"/>
          <w:szCs w:val="28"/>
        </w:rPr>
        <w:t>申报职称人员填报</w:t>
      </w:r>
      <w:r>
        <w:rPr>
          <w:rFonts w:hint="eastAsia" w:ascii="Times New Roman" w:hAnsi="Times New Roman" w:eastAsia="仿宋" w:cs="Times New Roman"/>
          <w:sz w:val="28"/>
          <w:szCs w:val="28"/>
          <w:lang w:eastAsia="zh-CN"/>
        </w:rPr>
        <w:t>《教育教学工作考核表》</w:t>
      </w:r>
      <w:r>
        <w:rPr>
          <w:rFonts w:hint="default" w:ascii="Times New Roman" w:hAnsi="Times New Roman" w:eastAsia="仿宋" w:cs="Times New Roman"/>
          <w:sz w:val="28"/>
          <w:szCs w:val="28"/>
          <w:lang w:eastAsia="zh-CN"/>
        </w:rPr>
        <w:t>，</w:t>
      </w:r>
      <w:r>
        <w:rPr>
          <w:rFonts w:hint="eastAsia" w:ascii="Times New Roman" w:hAnsi="Times New Roman" w:eastAsia="仿宋" w:cs="Times New Roman"/>
          <w:sz w:val="28"/>
          <w:szCs w:val="28"/>
          <w:lang w:eastAsia="zh-CN"/>
        </w:rPr>
        <w:t>并提供</w:t>
      </w:r>
      <w:r>
        <w:rPr>
          <w:rFonts w:hint="default" w:ascii="Times New Roman" w:hAnsi="Times New Roman" w:eastAsia="仿宋" w:cs="Times New Roman"/>
          <w:sz w:val="28"/>
          <w:szCs w:val="28"/>
          <w:lang w:eastAsia="zh-CN"/>
        </w:rPr>
        <w:t>支撑材料</w:t>
      </w:r>
      <w:r>
        <w:rPr>
          <w:rFonts w:hint="default" w:ascii="Times New Roman" w:hAnsi="Times New Roman" w:eastAsia="仿宋" w:cs="Times New Roman"/>
          <w:sz w:val="28"/>
          <w:szCs w:val="28"/>
        </w:rPr>
        <w:t>；</w:t>
      </w:r>
    </w:p>
    <w:p>
      <w:pPr>
        <w:keepNext w:val="0"/>
        <w:keepLines w:val="0"/>
        <w:pageBreakBefore w:val="0"/>
        <w:widowControl w:val="0"/>
        <w:kinsoku/>
        <w:wordWrap/>
        <w:overflowPunct/>
        <w:topLinePunct w:val="0"/>
        <w:autoSpaceDE/>
        <w:autoSpaceDN/>
        <w:bidi w:val="0"/>
        <w:snapToGrid w:val="0"/>
        <w:spacing w:line="520" w:lineRule="exact"/>
        <w:ind w:firstLine="562" w:firstLineChars="200"/>
        <w:textAlignment w:val="auto"/>
        <w:outlineLvl w:val="9"/>
        <w:rPr>
          <w:rFonts w:hint="default" w:ascii="Times New Roman" w:hAnsi="Times New Roman" w:eastAsia="仿宋" w:cs="Times New Roman"/>
          <w:b/>
          <w:bCs/>
          <w:sz w:val="28"/>
          <w:szCs w:val="28"/>
          <w:lang w:eastAsia="zh-CN"/>
        </w:rPr>
      </w:pPr>
      <w:r>
        <w:rPr>
          <w:rFonts w:hint="default" w:ascii="Times New Roman" w:hAnsi="Times New Roman" w:eastAsia="仿宋" w:cs="Times New Roman"/>
          <w:b/>
          <w:bCs/>
          <w:sz w:val="28"/>
          <w:szCs w:val="28"/>
        </w:rPr>
        <w:t>2.</w:t>
      </w:r>
      <w:r>
        <w:rPr>
          <w:rFonts w:hint="eastAsia" w:ascii="Times New Roman" w:hAnsi="Times New Roman" w:eastAsia="仿宋" w:cs="Times New Roman"/>
          <w:b/>
          <w:bCs/>
          <w:sz w:val="28"/>
          <w:szCs w:val="28"/>
          <w:lang w:eastAsia="zh-CN"/>
        </w:rPr>
        <w:t>材料</w:t>
      </w:r>
      <w:r>
        <w:rPr>
          <w:rFonts w:hint="default" w:ascii="Times New Roman" w:hAnsi="Times New Roman" w:eastAsia="仿宋" w:cs="Times New Roman"/>
          <w:b/>
          <w:bCs/>
          <w:sz w:val="28"/>
          <w:szCs w:val="28"/>
          <w:lang w:eastAsia="zh-CN"/>
        </w:rPr>
        <w:t>复核。</w:t>
      </w:r>
      <w:r>
        <w:rPr>
          <w:rFonts w:hint="eastAsia" w:ascii="Times New Roman" w:hAnsi="Times New Roman" w:eastAsia="仿宋" w:cs="Times New Roman"/>
          <w:b w:val="0"/>
          <w:bCs w:val="0"/>
          <w:sz w:val="28"/>
          <w:szCs w:val="28"/>
          <w:lang w:eastAsia="zh-CN"/>
        </w:rPr>
        <w:t>由各教务部门及系部对教育教学能力、教学效果、教育教学改革业绩等材料进行复核，并在</w:t>
      </w:r>
      <w:r>
        <w:rPr>
          <w:rFonts w:hint="eastAsia" w:ascii="Times New Roman" w:hAnsi="Times New Roman" w:eastAsia="仿宋" w:cs="Times New Roman"/>
          <w:sz w:val="28"/>
          <w:szCs w:val="28"/>
          <w:lang w:eastAsia="zh-CN"/>
        </w:rPr>
        <w:t>《教育教学工作考核表》签字盖章</w:t>
      </w:r>
      <w:r>
        <w:rPr>
          <w:rFonts w:hint="eastAsia" w:ascii="Times New Roman" w:hAnsi="Times New Roman" w:eastAsia="仿宋" w:cs="Times New Roman"/>
          <w:b w:val="0"/>
          <w:bCs w:val="0"/>
          <w:sz w:val="28"/>
          <w:szCs w:val="28"/>
          <w:lang w:eastAsia="zh-CN"/>
        </w:rPr>
        <w:t>。</w:t>
      </w:r>
    </w:p>
    <w:p>
      <w:pPr>
        <w:keepNext w:val="0"/>
        <w:keepLines w:val="0"/>
        <w:pageBreakBefore w:val="0"/>
        <w:widowControl w:val="0"/>
        <w:kinsoku/>
        <w:wordWrap/>
        <w:overflowPunct/>
        <w:topLinePunct w:val="0"/>
        <w:autoSpaceDE/>
        <w:autoSpaceDN/>
        <w:bidi w:val="0"/>
        <w:snapToGrid w:val="0"/>
        <w:spacing w:line="520" w:lineRule="exact"/>
        <w:ind w:firstLine="562" w:firstLineChars="200"/>
        <w:textAlignment w:val="auto"/>
        <w:outlineLvl w:val="9"/>
        <w:rPr>
          <w:rFonts w:hint="default" w:ascii="Times New Roman" w:hAnsi="Times New Roman" w:eastAsia="仿宋" w:cs="Times New Roman"/>
          <w:sz w:val="28"/>
          <w:szCs w:val="28"/>
        </w:rPr>
      </w:pPr>
      <w:r>
        <w:rPr>
          <w:rFonts w:hint="eastAsia" w:ascii="Times New Roman" w:hAnsi="Times New Roman" w:eastAsia="仿宋" w:cs="Times New Roman"/>
          <w:b/>
          <w:bCs/>
          <w:sz w:val="28"/>
          <w:szCs w:val="28"/>
          <w:lang w:val="en-US" w:eastAsia="zh-CN"/>
        </w:rPr>
        <w:t>3.教学测评。</w:t>
      </w:r>
      <w:r>
        <w:rPr>
          <w:rFonts w:hint="default" w:ascii="Times New Roman" w:hAnsi="Times New Roman" w:eastAsia="仿宋" w:cs="Times New Roman"/>
          <w:sz w:val="28"/>
          <w:szCs w:val="28"/>
        </w:rPr>
        <w:t>教学测评委员会组织专家对所有参评201</w:t>
      </w:r>
      <w:r>
        <w:rPr>
          <w:rFonts w:hint="eastAsia" w:ascii="Times New Roman" w:hAnsi="Times New Roman" w:eastAsia="仿宋" w:cs="Times New Roman"/>
          <w:sz w:val="28"/>
          <w:szCs w:val="28"/>
          <w:lang w:val="en-US" w:eastAsia="zh-CN"/>
        </w:rPr>
        <w:t>9</w:t>
      </w:r>
      <w:r>
        <w:rPr>
          <w:rFonts w:hint="default" w:ascii="Times New Roman" w:hAnsi="Times New Roman" w:eastAsia="仿宋" w:cs="Times New Roman"/>
          <w:sz w:val="28"/>
          <w:szCs w:val="28"/>
        </w:rPr>
        <w:t>年度高校教师系列专业技术职务人员进行教学测评，并将测评结果填入《201</w:t>
      </w:r>
      <w:r>
        <w:rPr>
          <w:rFonts w:hint="eastAsia" w:ascii="Times New Roman" w:hAnsi="Times New Roman" w:eastAsia="仿宋" w:cs="Times New Roman"/>
          <w:sz w:val="28"/>
          <w:szCs w:val="28"/>
          <w:lang w:val="en-US" w:eastAsia="zh-CN"/>
        </w:rPr>
        <w:t>9</w:t>
      </w:r>
      <w:r>
        <w:rPr>
          <w:rFonts w:hint="default" w:ascii="Times New Roman" w:hAnsi="Times New Roman" w:eastAsia="仿宋" w:cs="Times New Roman"/>
          <w:sz w:val="28"/>
          <w:szCs w:val="28"/>
        </w:rPr>
        <w:t>年度申报高校教师系列专业技术职务教学测评表》。</w:t>
      </w:r>
    </w:p>
    <w:p>
      <w:pPr>
        <w:keepNext w:val="0"/>
        <w:keepLines w:val="0"/>
        <w:pageBreakBefore w:val="0"/>
        <w:widowControl w:val="0"/>
        <w:kinsoku/>
        <w:wordWrap/>
        <w:overflowPunct/>
        <w:topLinePunct w:val="0"/>
        <w:autoSpaceDE/>
        <w:autoSpaceDN/>
        <w:bidi w:val="0"/>
        <w:spacing w:line="520" w:lineRule="exact"/>
        <w:ind w:firstLine="562" w:firstLineChars="200"/>
        <w:jc w:val="left"/>
        <w:textAlignment w:val="auto"/>
        <w:outlineLvl w:val="9"/>
        <w:rPr>
          <w:rFonts w:hint="eastAsia" w:ascii="Times New Roman" w:hAnsi="Times New Roman" w:eastAsia="仿宋" w:cs="Times New Roman"/>
          <w:sz w:val="28"/>
          <w:szCs w:val="28"/>
          <w:lang w:eastAsia="zh-CN"/>
        </w:rPr>
      </w:pPr>
      <w:r>
        <w:rPr>
          <w:rFonts w:hint="default" w:ascii="Times New Roman" w:hAnsi="Times New Roman" w:eastAsia="仿宋" w:cs="Times New Roman"/>
          <w:b/>
          <w:bCs/>
          <w:sz w:val="28"/>
          <w:szCs w:val="28"/>
        </w:rPr>
        <w:t>3.</w:t>
      </w:r>
      <w:r>
        <w:rPr>
          <w:rFonts w:hint="default" w:ascii="Times New Roman" w:hAnsi="Times New Roman" w:eastAsia="仿宋" w:cs="Times New Roman"/>
          <w:b/>
          <w:bCs/>
          <w:sz w:val="28"/>
          <w:szCs w:val="28"/>
          <w:lang w:eastAsia="zh-CN"/>
        </w:rPr>
        <w:t>结果上报。</w:t>
      </w:r>
      <w:r>
        <w:rPr>
          <w:rFonts w:hint="default" w:ascii="Times New Roman" w:hAnsi="Times New Roman" w:eastAsia="仿宋" w:cs="Times New Roman"/>
          <w:sz w:val="28"/>
          <w:szCs w:val="28"/>
        </w:rPr>
        <w:t>教学测评委员会将测评结果报学校职称改革工作领导小组</w:t>
      </w:r>
      <w:r>
        <w:rPr>
          <w:rFonts w:hint="eastAsia" w:ascii="Times New Roman" w:hAnsi="Times New Roman" w:eastAsia="仿宋" w:cs="Times New Roman"/>
          <w:sz w:val="28"/>
          <w:szCs w:val="28"/>
          <w:lang w:eastAsia="zh-CN"/>
        </w:rPr>
        <w:t>。</w:t>
      </w:r>
    </w:p>
    <w:p>
      <w:pPr>
        <w:keepNext w:val="0"/>
        <w:keepLines w:val="0"/>
        <w:pageBreakBefore w:val="0"/>
        <w:widowControl w:val="0"/>
        <w:kinsoku/>
        <w:wordWrap/>
        <w:overflowPunct/>
        <w:topLinePunct w:val="0"/>
        <w:autoSpaceDE/>
        <w:autoSpaceDN/>
        <w:bidi w:val="0"/>
        <w:snapToGrid w:val="0"/>
        <w:spacing w:line="520" w:lineRule="exact"/>
        <w:ind w:firstLine="562" w:firstLineChars="200"/>
        <w:textAlignment w:val="auto"/>
        <w:outlineLvl w:val="9"/>
        <w:rPr>
          <w:rFonts w:hint="default" w:ascii="Times New Roman" w:hAnsi="Times New Roman" w:eastAsia="仿宋" w:cs="Times New Roman"/>
          <w:b/>
          <w:sz w:val="28"/>
          <w:szCs w:val="28"/>
        </w:rPr>
      </w:pPr>
      <w:r>
        <w:rPr>
          <w:rFonts w:hint="default" w:ascii="Times New Roman" w:hAnsi="Times New Roman" w:eastAsia="仿宋" w:cs="Times New Roman"/>
          <w:b/>
          <w:bCs/>
          <w:sz w:val="28"/>
          <w:szCs w:val="28"/>
        </w:rPr>
        <w:t>4.测评</w:t>
      </w:r>
      <w:r>
        <w:rPr>
          <w:rFonts w:hint="default" w:ascii="Times New Roman" w:hAnsi="Times New Roman" w:eastAsia="仿宋" w:cs="Times New Roman"/>
          <w:b/>
          <w:bCs/>
          <w:sz w:val="28"/>
          <w:szCs w:val="28"/>
          <w:lang w:eastAsia="zh-CN"/>
        </w:rPr>
        <w:t>结果</w:t>
      </w:r>
      <w:r>
        <w:rPr>
          <w:rFonts w:hint="default" w:ascii="Times New Roman" w:hAnsi="Times New Roman" w:eastAsia="仿宋" w:cs="Times New Roman"/>
          <w:b/>
          <w:bCs/>
          <w:sz w:val="28"/>
          <w:szCs w:val="28"/>
        </w:rPr>
        <w:t>公示。</w:t>
      </w:r>
      <w:r>
        <w:rPr>
          <w:rFonts w:hint="default" w:ascii="Times New Roman" w:hAnsi="Times New Roman" w:eastAsia="仿宋" w:cs="Times New Roman"/>
          <w:sz w:val="28"/>
          <w:szCs w:val="28"/>
        </w:rPr>
        <w:t>学校职改办对教学测评合格人员的基本信息和参评材料在全校范围内公示。</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0" w:firstLineChars="200"/>
        <w:textAlignment w:val="auto"/>
        <w:outlineLvl w:val="9"/>
        <w:rPr>
          <w:rFonts w:hint="default" w:ascii="黑体" w:hAnsi="黑体" w:eastAsia="黑体" w:cs="黑体"/>
          <w:sz w:val="28"/>
          <w:szCs w:val="28"/>
        </w:rPr>
      </w:pPr>
      <w:r>
        <w:rPr>
          <w:rFonts w:hint="eastAsia" w:ascii="黑体" w:hAnsi="黑体" w:eastAsia="黑体" w:cs="黑体"/>
          <w:sz w:val="28"/>
          <w:szCs w:val="28"/>
          <w:lang w:eastAsia="zh-CN"/>
        </w:rPr>
        <w:t>四</w:t>
      </w:r>
      <w:r>
        <w:rPr>
          <w:rFonts w:hint="default" w:ascii="黑体" w:hAnsi="黑体" w:eastAsia="黑体" w:cs="黑体"/>
          <w:sz w:val="28"/>
          <w:szCs w:val="28"/>
          <w:lang w:eastAsia="zh-CN"/>
        </w:rPr>
        <w:t>、</w:t>
      </w:r>
      <w:r>
        <w:rPr>
          <w:rFonts w:hint="default" w:ascii="黑体" w:hAnsi="黑体" w:eastAsia="黑体" w:cs="黑体"/>
          <w:sz w:val="28"/>
          <w:szCs w:val="28"/>
        </w:rPr>
        <w:t>结果的运用</w:t>
      </w:r>
    </w:p>
    <w:p>
      <w:pPr>
        <w:keepNext w:val="0"/>
        <w:keepLines w:val="0"/>
        <w:pageBreakBefore w:val="0"/>
        <w:widowControl w:val="0"/>
        <w:kinsoku/>
        <w:wordWrap/>
        <w:overflowPunct/>
        <w:topLinePunct w:val="0"/>
        <w:autoSpaceDE/>
        <w:autoSpaceDN/>
        <w:bidi w:val="0"/>
        <w:spacing w:line="520" w:lineRule="exact"/>
        <w:ind w:firstLine="560" w:firstLineChars="200"/>
        <w:textAlignment w:val="auto"/>
        <w:outlineLvl w:val="9"/>
        <w:rPr>
          <w:rFonts w:hint="default" w:ascii="Times New Roman" w:hAnsi="Times New Roman" w:eastAsia="仿宋" w:cs="Times New Roman"/>
          <w:sz w:val="28"/>
          <w:szCs w:val="28"/>
        </w:rPr>
      </w:pPr>
      <w:r>
        <w:rPr>
          <w:rFonts w:hint="default" w:ascii="Times New Roman" w:hAnsi="Times New Roman" w:eastAsia="仿宋" w:cs="Times New Roman"/>
          <w:sz w:val="28"/>
          <w:szCs w:val="28"/>
        </w:rPr>
        <w:t>教学测评委员会将公示无异议的参评对象评审材料报学校职称改革工作领导小组，</w:t>
      </w:r>
      <w:r>
        <w:rPr>
          <w:rFonts w:hint="eastAsia" w:ascii="仿宋" w:hAnsi="仿宋" w:eastAsia="仿宋"/>
          <w:sz w:val="28"/>
          <w:szCs w:val="28"/>
        </w:rPr>
        <w:t>以用于</w:t>
      </w:r>
      <w:r>
        <w:rPr>
          <w:rFonts w:hint="eastAsia" w:ascii="仿宋" w:hAnsi="仿宋" w:eastAsia="仿宋"/>
          <w:sz w:val="28"/>
          <w:szCs w:val="28"/>
          <w:lang w:eastAsia="zh-CN"/>
        </w:rPr>
        <w:t>考核推荐。</w:t>
      </w:r>
    </w:p>
    <w:p>
      <w:pPr>
        <w:keepNext w:val="0"/>
        <w:keepLines w:val="0"/>
        <w:pageBreakBefore w:val="0"/>
        <w:widowControl w:val="0"/>
        <w:kinsoku/>
        <w:wordWrap/>
        <w:overflowPunct/>
        <w:topLinePunct w:val="0"/>
        <w:autoSpaceDE/>
        <w:autoSpaceDN/>
        <w:bidi w:val="0"/>
        <w:spacing w:line="520" w:lineRule="exact"/>
        <w:ind w:firstLine="560" w:firstLineChars="200"/>
        <w:textAlignment w:val="auto"/>
        <w:outlineLvl w:val="9"/>
        <w:rPr>
          <w:rFonts w:hint="eastAsia" w:ascii="Times New Roman" w:hAnsi="Times New Roman" w:eastAsia="仿宋" w:cs="Times New Roman"/>
          <w:sz w:val="28"/>
          <w:szCs w:val="28"/>
          <w:lang w:eastAsia="zh-CN"/>
        </w:rPr>
      </w:pPr>
    </w:p>
    <w:p>
      <w:pPr>
        <w:keepNext w:val="0"/>
        <w:keepLines w:val="0"/>
        <w:pageBreakBefore w:val="0"/>
        <w:widowControl w:val="0"/>
        <w:kinsoku/>
        <w:wordWrap/>
        <w:overflowPunct/>
        <w:topLinePunct w:val="0"/>
        <w:autoSpaceDE/>
        <w:autoSpaceDN/>
        <w:bidi w:val="0"/>
        <w:spacing w:line="520" w:lineRule="exact"/>
        <w:ind w:firstLine="560" w:firstLineChars="200"/>
        <w:textAlignment w:val="auto"/>
        <w:outlineLvl w:val="9"/>
        <w:rPr>
          <w:rFonts w:hint="eastAsia" w:ascii="Times New Roman" w:hAnsi="Times New Roman" w:eastAsia="仿宋" w:cs="Times New Roman"/>
          <w:sz w:val="28"/>
          <w:szCs w:val="28"/>
          <w:u w:val="none"/>
          <w:lang w:val="en-US" w:eastAsia="zh-CN"/>
        </w:rPr>
        <w:sectPr>
          <w:pgSz w:w="11906" w:h="16838"/>
          <w:pgMar w:top="1440" w:right="1800" w:bottom="1440" w:left="1800" w:header="851" w:footer="992" w:gutter="0"/>
          <w:cols w:space="425" w:num="1"/>
          <w:docGrid w:type="lines" w:linePitch="312" w:charSpace="0"/>
        </w:sectPr>
      </w:pPr>
      <w:r>
        <w:rPr>
          <w:rFonts w:hint="eastAsia" w:ascii="Times New Roman" w:hAnsi="Times New Roman" w:eastAsia="仿宋" w:cs="Times New Roman"/>
          <w:sz w:val="28"/>
          <w:szCs w:val="28"/>
          <w:lang w:eastAsia="zh-CN"/>
        </w:rPr>
        <w:t>附件</w:t>
      </w:r>
      <w:r>
        <w:rPr>
          <w:rFonts w:hint="eastAsia" w:ascii="Times New Roman" w:hAnsi="Times New Roman" w:eastAsia="仿宋" w:cs="Times New Roman"/>
          <w:sz w:val="28"/>
          <w:szCs w:val="28"/>
          <w:lang w:val="en-US" w:eastAsia="zh-CN"/>
        </w:rPr>
        <w:t>1：教学测评表（excle版2-3-2）</w:t>
      </w:r>
    </w:p>
    <w:p>
      <w:pPr>
        <w:spacing w:line="500" w:lineRule="exact"/>
        <w:rPr>
          <w:rFonts w:hint="default" w:eastAsia="仿宋_GB2312"/>
          <w:sz w:val="28"/>
          <w:lang w:eastAsia="zh-CN"/>
        </w:rPr>
      </w:pPr>
      <w:bookmarkStart w:id="0" w:name="_GoBack"/>
      <w:bookmarkEnd w:id="0"/>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150D05"/>
    <w:rsid w:val="02F66F8A"/>
    <w:rsid w:val="03330AE7"/>
    <w:rsid w:val="0C67111A"/>
    <w:rsid w:val="1DCD58D6"/>
    <w:rsid w:val="2050190C"/>
    <w:rsid w:val="2CDE6898"/>
    <w:rsid w:val="2F0A58CE"/>
    <w:rsid w:val="326775CE"/>
    <w:rsid w:val="39465BC6"/>
    <w:rsid w:val="46ED4675"/>
    <w:rsid w:val="514B0E4B"/>
    <w:rsid w:val="53045890"/>
    <w:rsid w:val="5610006D"/>
    <w:rsid w:val="57150D05"/>
    <w:rsid w:val="5A8D715E"/>
    <w:rsid w:val="5CE64FE1"/>
    <w:rsid w:val="5E415BDE"/>
    <w:rsid w:val="5EAD3E29"/>
    <w:rsid w:val="64137A87"/>
    <w:rsid w:val="6E011726"/>
    <w:rsid w:val="75920233"/>
    <w:rsid w:val="76316B44"/>
    <w:rsid w:val="7CA37E91"/>
    <w:rsid w:val="7D335D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2018-12-19T07:32:00Z</dcterms:created>
  <dc:creator>谭晗婧</dc:creator>
  <cp:lastModifiedBy>谭晗婧</cp:lastModifiedBy>
  <cp:lastPrinted>2019-01-08T01:20:00Z</cp:lastPrinted>
  <dcterms:modified xsi:type="dcterms:W3CDTF">2019-11-08T09:28:38Z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